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E34D" w14:textId="075E447C" w:rsidR="00723F1C" w:rsidRPr="000361DC" w:rsidRDefault="000361DC" w:rsidP="000361DC">
      <w:pPr>
        <w:pStyle w:val="HNDocsHeading1"/>
        <w:jc w:val="center"/>
      </w:pPr>
      <w:r>
        <w:rPr>
          <w:noProof/>
          <w:lang w:eastAsia="en-AU"/>
        </w:rPr>
        <mc:AlternateContent>
          <mc:Choice Requires="wpg">
            <w:drawing>
              <wp:anchor distT="0" distB="0" distL="114300" distR="114300" simplePos="0" relativeHeight="251663360" behindDoc="0" locked="0" layoutInCell="1" allowOverlap="1" wp14:anchorId="4A2BBA02" wp14:editId="6C7B2E15">
                <wp:simplePos x="0" y="0"/>
                <wp:positionH relativeFrom="column">
                  <wp:posOffset>5848709</wp:posOffset>
                </wp:positionH>
                <wp:positionV relativeFrom="paragraph">
                  <wp:posOffset>-327803</wp:posOffset>
                </wp:positionV>
                <wp:extent cx="632460" cy="734060"/>
                <wp:effectExtent l="0" t="0" r="0" b="8890"/>
                <wp:wrapNone/>
                <wp:docPr id="1" name="Group 1"/>
                <wp:cNvGraphicFramePr/>
                <a:graphic xmlns:a="http://schemas.openxmlformats.org/drawingml/2006/main">
                  <a:graphicData uri="http://schemas.microsoft.com/office/word/2010/wordprocessingGroup">
                    <wpg:wgp>
                      <wpg:cNvGrpSpPr/>
                      <wpg:grpSpPr>
                        <a:xfrm>
                          <a:off x="0" y="0"/>
                          <a:ext cx="632460" cy="734060"/>
                          <a:chOff x="0" y="9526"/>
                          <a:chExt cx="632460" cy="734060"/>
                        </a:xfrm>
                      </wpg:grpSpPr>
                      <wps:wsp>
                        <wps:cNvPr id="2" name="Text Box 2"/>
                        <wps:cNvSpPr txBox="1">
                          <a:spLocks noChangeArrowheads="1"/>
                        </wps:cNvSpPr>
                        <wps:spPr bwMode="auto">
                          <a:xfrm>
                            <a:off x="0" y="9526"/>
                            <a:ext cx="632460" cy="734060"/>
                          </a:xfrm>
                          <a:prstGeom prst="rect">
                            <a:avLst/>
                          </a:prstGeom>
                          <a:solidFill>
                            <a:srgbClr val="4298B5"/>
                          </a:solidFill>
                          <a:ln w="9525">
                            <a:noFill/>
                            <a:miter lim="800000"/>
                            <a:headEnd/>
                            <a:tailEnd/>
                          </a:ln>
                        </wps:spPr>
                        <wps:txbx>
                          <w:txbxContent>
                            <w:p w14:paraId="502A2C82" w14:textId="77777777" w:rsidR="000361DC" w:rsidRPr="00EB2715" w:rsidRDefault="000361DC" w:rsidP="000361DC">
                              <w:pPr>
                                <w:ind w:right="-91"/>
                                <w:jc w:val="right"/>
                                <w:rPr>
                                  <w:bCs/>
                                  <w:color w:val="EAF1DD" w:themeColor="accent3" w:themeTint="33"/>
                                  <w:sz w:val="14"/>
                                </w:rPr>
                              </w:pPr>
                            </w:p>
                            <w:p w14:paraId="7CFA4500" w14:textId="77777777" w:rsidR="000361DC" w:rsidRPr="00EB2715" w:rsidRDefault="000361DC" w:rsidP="000361DC">
                              <w:pPr>
                                <w:ind w:right="-91"/>
                                <w:jc w:val="right"/>
                                <w:rPr>
                                  <w:bCs/>
                                  <w:color w:val="EAF1DD" w:themeColor="accent3" w:themeTint="33"/>
                                  <w:sz w:val="14"/>
                                </w:rPr>
                              </w:pPr>
                            </w:p>
                            <w:p w14:paraId="2835FFAC" w14:textId="77777777" w:rsidR="000361DC" w:rsidRPr="00EB2715" w:rsidRDefault="000361DC" w:rsidP="000361DC">
                              <w:pPr>
                                <w:ind w:right="-91"/>
                                <w:jc w:val="right"/>
                                <w:rPr>
                                  <w:bCs/>
                                  <w:color w:val="EAF1DD" w:themeColor="accent3" w:themeTint="33"/>
                                  <w:sz w:val="14"/>
                                </w:rPr>
                              </w:pPr>
                              <w:r w:rsidRPr="00EB2715">
                                <w:rPr>
                                  <w:bCs/>
                                  <w:color w:val="EAF1DD" w:themeColor="accent3" w:themeTint="33"/>
                                  <w:sz w:val="14"/>
                                </w:rPr>
                                <w:t>TOOL</w:t>
                              </w:r>
                            </w:p>
                            <w:p w14:paraId="3A9E27E6" w14:textId="77777777" w:rsidR="000361DC" w:rsidRPr="00EB2715" w:rsidRDefault="000361DC" w:rsidP="000361DC">
                              <w:pPr>
                                <w:ind w:right="-91"/>
                                <w:jc w:val="right"/>
                                <w:rPr>
                                  <w:bCs/>
                                  <w:color w:val="EAF1DD" w:themeColor="accent3" w:themeTint="33"/>
                                  <w:sz w:val="14"/>
                                </w:rPr>
                              </w:pPr>
                              <w:r w:rsidRPr="00EB2715">
                                <w:rPr>
                                  <w:bCs/>
                                  <w:color w:val="EAF1DD" w:themeColor="accent3" w:themeTint="33"/>
                                  <w:sz w:val="14"/>
                                </w:rPr>
                                <w:br/>
                                <w:t>Providing Advice</w:t>
                              </w:r>
                            </w:p>
                          </w:txbxContent>
                        </wps:txbx>
                        <wps:bodyPr rot="0" vert="horz" wrap="square" lIns="91440" tIns="45720" rIns="91440" bIns="45720" anchor="t" anchorCtr="0">
                          <a:noAutofit/>
                        </wps:bodyPr>
                      </wps:wsp>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80467" y="65837"/>
                            <a:ext cx="180975" cy="180975"/>
                          </a:xfrm>
                          <a:prstGeom prst="rect">
                            <a:avLst/>
                          </a:prstGeom>
                        </pic:spPr>
                      </pic:pic>
                    </wpg:wgp>
                  </a:graphicData>
                </a:graphic>
              </wp:anchor>
            </w:drawing>
          </mc:Choice>
          <mc:Fallback>
            <w:pict>
              <v:group w14:anchorId="4A2BBA02" id="Group 1" o:spid="_x0000_s1026" style="position:absolute;left:0;text-align:left;margin-left:460.55pt;margin-top:-25.8pt;width:49.8pt;height:57.8pt;z-index:251663360" coordorigin=",95" coordsize="6324,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">
                <v:shapetype id="_x0000_t202" coordsize="21600,21600" o:spt="202" path="m,l,21600r21600,l21600,xe">
                  <v:stroke joinstyle="miter"/>
                  <v:path gradientshapeok="t" o:connecttype="rect"/>
                </v:shapetype>
                <v:shape id="Text Box 2" o:spid="_x0000_s1027" type="#_x0000_t202" style="position:absolute;top:95;width:6324;height:7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" fillcolor="#4298b5" stroked="f">
                  <v:textbox>
                    <w:txbxContent>
                      <w:p w14:paraId="502A2C82" w14:textId="77777777" w:rsidR="000361DC" w:rsidRPr="00EB2715" w:rsidRDefault="000361DC" w:rsidP="000361DC">
                        <w:pPr>
                          <w:ind w:right="-91"/>
                          <w:jc w:val="right"/>
                          <w:rPr>
                            <w:bCs/>
                            <w:color w:val="EAF1DD" w:themeColor="accent3" w:themeTint="33"/>
                            <w:sz w:val="14"/>
                          </w:rPr>
                        </w:pPr>
                      </w:p>
                      <w:p w14:paraId="7CFA4500" w14:textId="77777777" w:rsidR="000361DC" w:rsidRPr="00EB2715" w:rsidRDefault="000361DC" w:rsidP="000361DC">
                        <w:pPr>
                          <w:ind w:right="-91"/>
                          <w:jc w:val="right"/>
                          <w:rPr>
                            <w:bCs/>
                            <w:color w:val="EAF1DD" w:themeColor="accent3" w:themeTint="33"/>
                            <w:sz w:val="14"/>
                          </w:rPr>
                        </w:pPr>
                      </w:p>
                      <w:p w14:paraId="2835FFAC" w14:textId="77777777" w:rsidR="000361DC" w:rsidRPr="00EB2715" w:rsidRDefault="000361DC" w:rsidP="000361DC">
                        <w:pPr>
                          <w:ind w:right="-91"/>
                          <w:jc w:val="right"/>
                          <w:rPr>
                            <w:bCs/>
                            <w:color w:val="EAF1DD" w:themeColor="accent3" w:themeTint="33"/>
                            <w:sz w:val="14"/>
                          </w:rPr>
                        </w:pPr>
                        <w:r w:rsidRPr="00EB2715">
                          <w:rPr>
                            <w:bCs/>
                            <w:color w:val="EAF1DD" w:themeColor="accent3" w:themeTint="33"/>
                            <w:sz w:val="14"/>
                          </w:rPr>
                          <w:t>TOOL</w:t>
                        </w:r>
                      </w:p>
                      <w:p w14:paraId="3A9E27E6" w14:textId="77777777" w:rsidR="000361DC" w:rsidRPr="00EB2715" w:rsidRDefault="000361DC" w:rsidP="000361DC">
                        <w:pPr>
                          <w:ind w:right="-91"/>
                          <w:jc w:val="right"/>
                          <w:rPr>
                            <w:bCs/>
                            <w:color w:val="EAF1DD" w:themeColor="accent3" w:themeTint="33"/>
                            <w:sz w:val="14"/>
                          </w:rPr>
                        </w:pPr>
                        <w:r w:rsidRPr="00EB2715">
                          <w:rPr>
                            <w:bCs/>
                            <w:color w:val="EAF1DD" w:themeColor="accent3" w:themeTint="33"/>
                            <w:sz w:val="14"/>
                          </w:rPr>
                          <w:br/>
                          <w:t>Providing Advice</w:t>
                        </w:r>
                      </w:p>
                    </w:txbxContent>
                  </v:textbox>
                </v:shape>
                <v:shape id="Picture 20" o:spid="_x0000_s1028" type="#_x0000_t75" style="position:absolute;left:804;top:658;width:1810;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">
                  <v:imagedata r:id="rId12" o:title=""/>
                </v:shape>
              </v:group>
            </w:pict>
          </mc:Fallback>
        </mc:AlternateContent>
      </w:r>
      <w:r w:rsidR="00723F1C" w:rsidRPr="000361DC">
        <w:t xml:space="preserve">Financial Services Guide Template </w:t>
      </w:r>
      <w:r w:rsidR="00CF1617">
        <w:t>–</w:t>
      </w:r>
      <w:r w:rsidR="00723F1C" w:rsidRPr="000361DC">
        <w:t xml:space="preserve"> Licensee</w:t>
      </w:r>
    </w:p>
    <w:bookmarkStart w:id="0" w:name="_Hlk52442640"/>
    <w:p w14:paraId="682577DA" w14:textId="77777777" w:rsidR="000361DC" w:rsidRDefault="000361DC" w:rsidP="000361DC">
      <w:pPr>
        <w:pStyle w:val="HNDocsBodyText"/>
      </w:pPr>
      <w:r w:rsidRPr="002C2F29">
        <w:rPr>
          <w:noProof/>
          <w:sz w:val="16"/>
          <w:szCs w:val="16"/>
          <w:lang w:eastAsia="en-AU"/>
        </w:rPr>
        <mc:AlternateContent>
          <mc:Choice Requires="wps">
            <w:drawing>
              <wp:anchor distT="0" distB="0" distL="114300" distR="114300" simplePos="0" relativeHeight="251661312" behindDoc="0" locked="0" layoutInCell="1" allowOverlap="1" wp14:anchorId="2E8DD9CB" wp14:editId="0FD841C1">
                <wp:simplePos x="0" y="0"/>
                <wp:positionH relativeFrom="margin">
                  <wp:posOffset>-115791</wp:posOffset>
                </wp:positionH>
                <wp:positionV relativeFrom="paragraph">
                  <wp:posOffset>192597</wp:posOffset>
                </wp:positionV>
                <wp:extent cx="6337004" cy="2297927"/>
                <wp:effectExtent l="0" t="0" r="26035" b="26670"/>
                <wp:wrapNone/>
                <wp:docPr id="194" name="Rectangle 194"/>
                <wp:cNvGraphicFramePr/>
                <a:graphic xmlns:a="http://schemas.openxmlformats.org/drawingml/2006/main">
                  <a:graphicData uri="http://schemas.microsoft.com/office/word/2010/wordprocessingShape">
                    <wps:wsp>
                      <wps:cNvSpPr/>
                      <wps:spPr>
                        <a:xfrm>
                          <a:off x="0" y="0"/>
                          <a:ext cx="6337004" cy="2297927"/>
                        </a:xfrm>
                        <a:prstGeom prst="rect">
                          <a:avLst/>
                        </a:prstGeom>
                        <a:noFill/>
                        <a:ln w="6350" cap="flat" cmpd="sng" algn="ctr">
                          <a:solidFill>
                            <a:srgbClr val="716E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885EA" id="Rectangle 194" o:spid="_x0000_s1026" style="position:absolute;margin-left:-9.1pt;margin-top:15.15pt;width:499pt;height:18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" filled="f" strokecolor="#716e6a" strokeweight=".5pt">
                <w10:wrap anchorx="margin"/>
              </v:rect>
            </w:pict>
          </mc:Fallback>
        </mc:AlternateContent>
      </w:r>
    </w:p>
    <w:p w14:paraId="0073CAD4" w14:textId="77777777" w:rsidR="000361DC" w:rsidRPr="00BE76E5" w:rsidRDefault="000361DC" w:rsidP="000361DC">
      <w:pPr>
        <w:pStyle w:val="HNDocsBodyText"/>
        <w:rPr>
          <w:i/>
          <w:iCs/>
          <w:sz w:val="18"/>
          <w:szCs w:val="18"/>
        </w:rPr>
      </w:pPr>
      <w:bookmarkStart w:id="1" w:name="_Hlk39257982"/>
      <w:bookmarkStart w:id="2" w:name="_Hlk39244466"/>
      <w:bookmarkStart w:id="3" w:name="_Hlk39253143"/>
      <w:r w:rsidRPr="00FE62FE">
        <w:rPr>
          <w:b/>
          <w:i/>
          <w:iCs/>
          <w:sz w:val="22"/>
        </w:rPr>
        <w:t xml:space="preserve">Instructions to user </w:t>
      </w:r>
      <w:r w:rsidRPr="007B45FE">
        <w:rPr>
          <w:i/>
          <w:iCs/>
          <w:szCs w:val="20"/>
        </w:rPr>
        <w:t>(Delete this box once the tool has been tailored to your organisation.)</w:t>
      </w:r>
    </w:p>
    <w:p w14:paraId="075A54DD" w14:textId="5F41243A" w:rsidR="000B62D2" w:rsidRDefault="00D72B67" w:rsidP="000B62D2">
      <w:pPr>
        <w:pStyle w:val="HNDocsBodyText"/>
        <w:rPr>
          <w:sz w:val="18"/>
          <w:szCs w:val="18"/>
        </w:rPr>
      </w:pPr>
      <w:r>
        <w:rPr>
          <w:sz w:val="18"/>
          <w:szCs w:val="18"/>
        </w:rPr>
        <w:t>Use caution when working from templates</w:t>
      </w:r>
      <w:r w:rsidR="000B62D2" w:rsidRPr="00BE76E5">
        <w:rPr>
          <w:sz w:val="18"/>
          <w:szCs w:val="18"/>
        </w:rPr>
        <w:t>.  Review the template carefully and tailor it to ensure that it accurately reflects what happens in practice.</w:t>
      </w:r>
    </w:p>
    <w:p w14:paraId="7538D851" w14:textId="3431BAB1" w:rsidR="000361DC" w:rsidRPr="00BE76E5" w:rsidRDefault="000361DC" w:rsidP="000361DC">
      <w:pPr>
        <w:pStyle w:val="HNDocsBodyText"/>
        <w:rPr>
          <w:sz w:val="18"/>
          <w:szCs w:val="18"/>
        </w:rPr>
      </w:pPr>
      <w:r w:rsidRPr="000361DC">
        <w:rPr>
          <w:sz w:val="18"/>
          <w:szCs w:val="18"/>
        </w:rPr>
        <w:t>This example Financial Services Guide is intended for information purposes only.  You must make sure the Financial Service</w:t>
      </w:r>
      <w:r w:rsidR="00511586">
        <w:rPr>
          <w:sz w:val="18"/>
          <w:szCs w:val="18"/>
        </w:rPr>
        <w:t>s</w:t>
      </w:r>
      <w:r w:rsidRPr="000361DC">
        <w:rPr>
          <w:sz w:val="18"/>
          <w:szCs w:val="18"/>
        </w:rPr>
        <w:t xml:space="preserve"> </w:t>
      </w:r>
      <w:r w:rsidR="00511586">
        <w:rPr>
          <w:sz w:val="18"/>
          <w:szCs w:val="18"/>
        </w:rPr>
        <w:t>G</w:t>
      </w:r>
      <w:r w:rsidRPr="000361DC">
        <w:rPr>
          <w:sz w:val="18"/>
          <w:szCs w:val="18"/>
        </w:rPr>
        <w:t>uide reflects your business</w:t>
      </w:r>
      <w:r w:rsidRPr="00BE76E5">
        <w:rPr>
          <w:sz w:val="18"/>
          <w:szCs w:val="18"/>
        </w:rPr>
        <w:t>.</w:t>
      </w:r>
    </w:p>
    <w:p w14:paraId="20CF8933" w14:textId="77777777" w:rsidR="000361DC" w:rsidRPr="00BE76E5" w:rsidRDefault="000361DC" w:rsidP="000361DC">
      <w:pPr>
        <w:pStyle w:val="HNDocsBodyText"/>
        <w:spacing w:after="0"/>
        <w:rPr>
          <w:sz w:val="18"/>
          <w:szCs w:val="18"/>
        </w:rPr>
      </w:pPr>
      <w:r w:rsidRPr="00BE76E5">
        <w:rPr>
          <w:sz w:val="18"/>
          <w:szCs w:val="18"/>
        </w:rPr>
        <w:t>In order to tailor this tool to your organisation:</w:t>
      </w:r>
    </w:p>
    <w:p w14:paraId="54CF2C96" w14:textId="16EEF1F6" w:rsidR="000361DC" w:rsidRDefault="000361DC" w:rsidP="000361DC">
      <w:pPr>
        <w:pStyle w:val="HNDocsBulletpoints"/>
        <w:numPr>
          <w:ilvl w:val="0"/>
          <w:numId w:val="26"/>
        </w:numPr>
        <w:spacing w:after="0"/>
        <w:ind w:left="714" w:hanging="357"/>
        <w:rPr>
          <w:sz w:val="18"/>
          <w:szCs w:val="18"/>
        </w:rPr>
      </w:pPr>
      <w:r w:rsidRPr="00BE76E5">
        <w:rPr>
          <w:sz w:val="18"/>
          <w:szCs w:val="18"/>
        </w:rPr>
        <w:t xml:space="preserve">follow the instructions in the </w:t>
      </w:r>
      <w:r w:rsidRPr="00BE76E5">
        <w:rPr>
          <w:sz w:val="18"/>
          <w:szCs w:val="18"/>
          <w:highlight w:val="yellow"/>
        </w:rPr>
        <w:t>yellow</w:t>
      </w:r>
      <w:r w:rsidRPr="00BE76E5">
        <w:rPr>
          <w:sz w:val="18"/>
          <w:szCs w:val="18"/>
        </w:rPr>
        <w:t xml:space="preserve"> highlighted text and replace or delete that text as appropriate</w:t>
      </w:r>
    </w:p>
    <w:p w14:paraId="2CC5B736" w14:textId="58D2259C" w:rsidR="00511586" w:rsidRPr="00BE76E5" w:rsidRDefault="00511586" w:rsidP="00511586">
      <w:pPr>
        <w:pStyle w:val="HNDocsBulletpoints"/>
        <w:numPr>
          <w:ilvl w:val="0"/>
          <w:numId w:val="26"/>
        </w:numPr>
        <w:spacing w:after="0"/>
        <w:ind w:left="714" w:hanging="357"/>
        <w:rPr>
          <w:sz w:val="18"/>
          <w:szCs w:val="18"/>
        </w:rPr>
      </w:pPr>
      <w:bookmarkStart w:id="4" w:name="_Hlk83115669"/>
      <w:r w:rsidRPr="00BE76E5">
        <w:rPr>
          <w:sz w:val="18"/>
          <w:szCs w:val="18"/>
        </w:rPr>
        <w:t xml:space="preserve">if desired, replace “the </w:t>
      </w:r>
      <w:r>
        <w:rPr>
          <w:sz w:val="18"/>
          <w:szCs w:val="18"/>
        </w:rPr>
        <w:t>L</w:t>
      </w:r>
      <w:r w:rsidRPr="00BE76E5">
        <w:rPr>
          <w:sz w:val="18"/>
          <w:szCs w:val="18"/>
        </w:rPr>
        <w:t>icensee” with the name of your licensee</w:t>
      </w:r>
    </w:p>
    <w:p w14:paraId="0F39631A" w14:textId="77777777" w:rsidR="00553E64" w:rsidRPr="00BE76E5" w:rsidRDefault="00553E64" w:rsidP="00553E64">
      <w:pPr>
        <w:pStyle w:val="HNDocsBulletpoints"/>
        <w:numPr>
          <w:ilvl w:val="0"/>
          <w:numId w:val="26"/>
        </w:numPr>
        <w:ind w:left="714" w:hanging="357"/>
        <w:rPr>
          <w:sz w:val="18"/>
          <w:szCs w:val="18"/>
        </w:rPr>
      </w:pPr>
      <w:r w:rsidRPr="00BE76E5">
        <w:rPr>
          <w:sz w:val="18"/>
          <w:szCs w:val="18"/>
        </w:rPr>
        <w:t xml:space="preserve">replace or alter the </w:t>
      </w:r>
      <w:r w:rsidRPr="00BE76E5">
        <w:rPr>
          <w:sz w:val="18"/>
          <w:szCs w:val="18"/>
          <w:highlight w:val="cyan"/>
        </w:rPr>
        <w:t>aqua</w:t>
      </w:r>
      <w:r w:rsidRPr="00BE76E5">
        <w:rPr>
          <w:sz w:val="18"/>
          <w:szCs w:val="18"/>
        </w:rPr>
        <w:t xml:space="preserve"> highlighted text to better suit your business and/or risk appetite, while still being mindful of the relevant regulatory requirements</w:t>
      </w:r>
    </w:p>
    <w:bookmarkEnd w:id="4"/>
    <w:p w14:paraId="6EB5BECB" w14:textId="77777777" w:rsidR="000361DC" w:rsidRPr="00BE76E5" w:rsidRDefault="000361DC" w:rsidP="000361DC">
      <w:pPr>
        <w:pStyle w:val="HNDocsBodyText"/>
        <w:rPr>
          <w:sz w:val="18"/>
          <w:szCs w:val="18"/>
          <w:lang w:val="en-US"/>
        </w:rPr>
      </w:pPr>
      <w:r w:rsidRPr="00BE76E5">
        <w:rPr>
          <w:sz w:val="18"/>
          <w:szCs w:val="18"/>
          <w:lang w:val="en-US"/>
        </w:rPr>
        <w:t xml:space="preserve">If you require assistance with this document, contact Holley Nethercote Lawyers at </w:t>
      </w:r>
      <w:hyperlink r:id="rId13" w:history="1">
        <w:r w:rsidRPr="00BE76E5">
          <w:rPr>
            <w:rStyle w:val="Hyperlink"/>
            <w:iCs/>
            <w:sz w:val="18"/>
            <w:szCs w:val="18"/>
            <w:lang w:val="en-US"/>
          </w:rPr>
          <w:t>info@hnlaw.com.au</w:t>
        </w:r>
      </w:hyperlink>
      <w:r w:rsidRPr="00BE76E5">
        <w:rPr>
          <w:sz w:val="18"/>
          <w:szCs w:val="18"/>
          <w:lang w:val="en-US"/>
        </w:rPr>
        <w:t xml:space="preserve"> to obtain an estimate of our fees for this service.</w:t>
      </w:r>
    </w:p>
    <w:p w14:paraId="4D656044" w14:textId="77777777" w:rsidR="000361DC" w:rsidRPr="00481617" w:rsidRDefault="000361DC" w:rsidP="000361DC">
      <w:pPr>
        <w:pStyle w:val="HNDocsBodyText"/>
        <w:shd w:val="clear" w:color="auto" w:fill="C4E0EA"/>
        <w:spacing w:after="120"/>
        <w:ind w:left="-142" w:right="-306"/>
        <w:rPr>
          <w:b/>
          <w:bCs w:val="0"/>
          <w:i/>
          <w:iCs/>
          <w:color w:val="1F497D"/>
          <w:sz w:val="16"/>
          <w:szCs w:val="16"/>
          <w:lang w:val="en-US"/>
        </w:rPr>
      </w:pPr>
      <w:bookmarkStart w:id="5" w:name="_Hlk50978411"/>
      <w:bookmarkEnd w:id="1"/>
      <w:bookmarkEnd w:id="2"/>
      <w:bookmarkEnd w:id="3"/>
      <w:r w:rsidRPr="00481617">
        <w:rPr>
          <w:b/>
          <w:bCs w:val="0"/>
          <w:i/>
          <w:iCs/>
          <w:color w:val="1F497D"/>
          <w:sz w:val="16"/>
          <w:szCs w:val="16"/>
          <w:lang w:val="en-US"/>
        </w:rPr>
        <w:t>Disclosure, disclaimer and licence terms</w:t>
      </w:r>
    </w:p>
    <w:p w14:paraId="452AE78C" w14:textId="77777777" w:rsidR="000361DC" w:rsidRPr="00481617" w:rsidRDefault="000361DC" w:rsidP="000361DC">
      <w:pPr>
        <w:pStyle w:val="HNDocsBodyText"/>
        <w:shd w:val="clear" w:color="auto" w:fill="C4E0EA"/>
        <w:spacing w:after="120"/>
        <w:ind w:left="-142" w:right="-306"/>
        <w:rPr>
          <w:i/>
          <w:iCs/>
          <w:color w:val="000000" w:themeColor="text1"/>
          <w:sz w:val="16"/>
          <w:szCs w:val="16"/>
          <w:lang w:val="en-US"/>
        </w:rPr>
      </w:pPr>
      <w:r w:rsidRPr="00481617">
        <w:rPr>
          <w:i/>
          <w:iCs/>
          <w:sz w:val="16"/>
          <w:szCs w:val="16"/>
          <w:lang w:val="en-US"/>
        </w:rPr>
        <w:t xml:space="preserve">Holley Nethercote Pty Ltd trading as Holley Nethercote Lawyers and trading as Holley Nethercote Compliance (“Holley Nethercote”) believes that this document complies with the law as at the date of its preparation.  The contents </w:t>
      </w:r>
      <w:r w:rsidRPr="00481617">
        <w:rPr>
          <w:i/>
          <w:iCs/>
          <w:color w:val="000000" w:themeColor="text1"/>
          <w:sz w:val="16"/>
          <w:szCs w:val="16"/>
          <w:lang w:val="en-US"/>
        </w:rPr>
        <w:t>of this document do not constitute legal advice</w:t>
      </w:r>
      <w:r>
        <w:rPr>
          <w:i/>
          <w:iCs/>
          <w:color w:val="000000" w:themeColor="text1"/>
          <w:sz w:val="16"/>
          <w:szCs w:val="16"/>
          <w:lang w:val="en-US"/>
        </w:rPr>
        <w:t xml:space="preserve"> or the provision of a legal service</w:t>
      </w:r>
      <w:r w:rsidRPr="00481617">
        <w:rPr>
          <w:i/>
          <w:iCs/>
          <w:color w:val="000000" w:themeColor="text1"/>
          <w:sz w:val="16"/>
          <w:szCs w:val="16"/>
          <w:lang w:val="en-US"/>
        </w:rPr>
        <w:t>. </w:t>
      </w:r>
    </w:p>
    <w:p w14:paraId="1A01AD58" w14:textId="77777777" w:rsidR="000361DC" w:rsidRPr="00481617" w:rsidRDefault="000361DC" w:rsidP="000361DC">
      <w:pPr>
        <w:pStyle w:val="HNDocsBodyText"/>
        <w:shd w:val="clear" w:color="auto" w:fill="C4E0EA"/>
        <w:spacing w:after="0"/>
        <w:ind w:left="-142" w:right="-306"/>
        <w:rPr>
          <w:i/>
          <w:iCs/>
          <w:sz w:val="16"/>
          <w:szCs w:val="16"/>
          <w:lang w:val="en-US"/>
        </w:rPr>
      </w:pPr>
      <w:r w:rsidRPr="00481617">
        <w:rPr>
          <w:i/>
          <w:iCs/>
          <w:sz w:val="16"/>
          <w:szCs w:val="16"/>
          <w:lang w:val="en-US"/>
        </w:rPr>
        <w:t>Accordingly, and to the extent permitted by law:</w:t>
      </w:r>
    </w:p>
    <w:p w14:paraId="4D63C762" w14:textId="77777777" w:rsidR="000361DC" w:rsidRPr="00481617" w:rsidRDefault="000361DC" w:rsidP="000361DC">
      <w:pPr>
        <w:pStyle w:val="HNDocsBulletpoints"/>
        <w:numPr>
          <w:ilvl w:val="0"/>
          <w:numId w:val="26"/>
        </w:numPr>
        <w:shd w:val="clear" w:color="auto" w:fill="C4E0EA"/>
        <w:spacing w:after="0"/>
        <w:ind w:left="142" w:right="-306" w:hanging="284"/>
        <w:rPr>
          <w:i/>
          <w:iCs/>
          <w:sz w:val="16"/>
          <w:szCs w:val="18"/>
        </w:rPr>
      </w:pPr>
      <w:r w:rsidRPr="00481617">
        <w:rPr>
          <w:i/>
          <w:iCs/>
          <w:sz w:val="16"/>
          <w:szCs w:val="18"/>
        </w:rPr>
        <w:t>no representation or warranty is given as to the suitability or applicability of this document for the user's particular business;</w:t>
      </w:r>
    </w:p>
    <w:p w14:paraId="07E4E035" w14:textId="77777777" w:rsidR="000361DC" w:rsidRDefault="000361DC" w:rsidP="000361DC">
      <w:pPr>
        <w:pStyle w:val="HNDocsBulletpoints"/>
        <w:numPr>
          <w:ilvl w:val="0"/>
          <w:numId w:val="26"/>
        </w:numPr>
        <w:shd w:val="clear" w:color="auto" w:fill="C4E0EA"/>
        <w:ind w:left="142" w:right="-306" w:hanging="284"/>
        <w:rPr>
          <w:i/>
          <w:iCs/>
          <w:sz w:val="16"/>
          <w:szCs w:val="18"/>
        </w:rPr>
      </w:pPr>
      <w:r w:rsidRPr="00481617">
        <w:rPr>
          <w:i/>
          <w:iCs/>
          <w:sz w:val="16"/>
          <w:szCs w:val="18"/>
        </w:rPr>
        <w:t xml:space="preserve">Holley Nethercote and its directors and employees disclaim all or any contractual, tortious or other form of liability to any person arising out of or in connection with reliance upon or use of this document. </w:t>
      </w:r>
    </w:p>
    <w:p w14:paraId="727A106A" w14:textId="77777777" w:rsidR="000361DC" w:rsidRPr="00481617" w:rsidRDefault="000361DC" w:rsidP="000361DC">
      <w:pPr>
        <w:pStyle w:val="HNDocsBulletpoints"/>
        <w:numPr>
          <w:ilvl w:val="0"/>
          <w:numId w:val="0"/>
        </w:numPr>
        <w:shd w:val="clear" w:color="auto" w:fill="C4E0EA"/>
        <w:ind w:left="-142" w:right="-306"/>
        <w:rPr>
          <w:i/>
          <w:iCs/>
          <w:sz w:val="16"/>
          <w:szCs w:val="18"/>
        </w:rPr>
      </w:pPr>
      <w:r w:rsidRPr="00481617">
        <w:rPr>
          <w:b/>
          <w:bCs w:val="0"/>
          <w:i/>
          <w:iCs/>
          <w:sz w:val="16"/>
          <w:szCs w:val="16"/>
          <w:lang w:val="en-US"/>
        </w:rPr>
        <w:t xml:space="preserve">© Holley Nethercote Pty Ltd is the owner of copyright in this document.  Only the organisation which purchased this document from Holley Nethercote Pty Ltd can use this document and alter it so that it suits their business. </w:t>
      </w:r>
    </w:p>
    <w:p w14:paraId="4FD4B76E" w14:textId="55D3B265" w:rsidR="000361DC" w:rsidRPr="00481617" w:rsidRDefault="000361DC" w:rsidP="000361DC">
      <w:pPr>
        <w:pStyle w:val="HNDocsBodyText"/>
        <w:shd w:val="clear" w:color="auto" w:fill="C4E0EA"/>
        <w:spacing w:after="120"/>
        <w:ind w:left="-142" w:right="-306"/>
        <w:rPr>
          <w:i/>
          <w:iCs/>
          <w:sz w:val="16"/>
          <w:szCs w:val="16"/>
          <w:lang w:val="en-US"/>
        </w:rPr>
      </w:pPr>
      <w:r w:rsidRPr="000361DC">
        <w:rPr>
          <w:i/>
          <w:iCs/>
          <w:sz w:val="16"/>
          <w:szCs w:val="16"/>
          <w:lang w:val="en-US"/>
        </w:rPr>
        <w:t xml:space="preserve">Last updated: </w:t>
      </w:r>
      <w:r w:rsidR="00553E64">
        <w:rPr>
          <w:i/>
          <w:iCs/>
          <w:sz w:val="16"/>
          <w:szCs w:val="16"/>
          <w:lang w:val="en-US"/>
        </w:rPr>
        <w:t xml:space="preserve">September </w:t>
      </w:r>
      <w:r w:rsidR="00DB518E">
        <w:rPr>
          <w:i/>
          <w:iCs/>
          <w:sz w:val="16"/>
          <w:szCs w:val="16"/>
          <w:lang w:val="en-US"/>
        </w:rPr>
        <w:t>2021</w:t>
      </w:r>
    </w:p>
    <w:bookmarkEnd w:id="0"/>
    <w:bookmarkEnd w:id="5"/>
    <w:p w14:paraId="7B43CCBB" w14:textId="5EAEFAF5" w:rsidR="001534DA" w:rsidRDefault="001534DA" w:rsidP="001534DA">
      <w:pPr>
        <w:pStyle w:val="HNDocsBodyText"/>
        <w:rPr>
          <w:lang w:val="en-US"/>
        </w:rPr>
      </w:pPr>
    </w:p>
    <w:p w14:paraId="79DE713A" w14:textId="77777777" w:rsidR="00634BA5" w:rsidRDefault="00634BA5" w:rsidP="001534DA">
      <w:pPr>
        <w:pStyle w:val="HNDocsBodyText"/>
        <w:rPr>
          <w:lang w:val="en-US"/>
        </w:rPr>
      </w:pPr>
    </w:p>
    <w:p w14:paraId="2B9A2002" w14:textId="4129CA54" w:rsidR="00057985" w:rsidRDefault="00057985" w:rsidP="00057985">
      <w:pPr>
        <w:pStyle w:val="HNDocsHeading1"/>
        <w:rPr>
          <w:lang w:val="en-US"/>
        </w:rPr>
      </w:pPr>
      <w:r>
        <w:rPr>
          <w:lang w:val="en-US"/>
        </w:rPr>
        <w:t>What’s changed?</w:t>
      </w:r>
    </w:p>
    <w:p w14:paraId="52CABA6D" w14:textId="356FBE22" w:rsidR="00057985" w:rsidRPr="00F52439" w:rsidRDefault="00057985" w:rsidP="00057985">
      <w:pPr>
        <w:pStyle w:val="HNDocsBodyText"/>
        <w:rPr>
          <w:lang w:val="en-US"/>
        </w:rPr>
      </w:pPr>
      <w:r>
        <w:rPr>
          <w:lang w:val="en-US"/>
        </w:rPr>
        <w:t>The previous ‘</w:t>
      </w:r>
      <w:r w:rsidRPr="000361DC">
        <w:t xml:space="preserve">Financial Services Guide Template </w:t>
      </w:r>
      <w:r w:rsidR="00CF1617">
        <w:t>–</w:t>
      </w:r>
      <w:r w:rsidRPr="000361DC">
        <w:t xml:space="preserve"> Licensee</w:t>
      </w:r>
      <w:r>
        <w:rPr>
          <w:lang w:val="en-US"/>
        </w:rPr>
        <w:t>’ was issued on</w:t>
      </w:r>
      <w:r w:rsidR="00553E64">
        <w:rPr>
          <w:lang w:val="en-US"/>
        </w:rPr>
        <w:t xml:space="preserve"> 18 May 2021</w:t>
      </w:r>
      <w:r>
        <w:rPr>
          <w:lang w:val="en-US"/>
        </w:rPr>
        <w:t>.</w:t>
      </w:r>
    </w:p>
    <w:p w14:paraId="06AD58DD" w14:textId="77777777" w:rsidR="00553E64" w:rsidRDefault="00553E64" w:rsidP="00553E64">
      <w:pPr>
        <w:pStyle w:val="HNDocsBodyText"/>
      </w:pPr>
      <w:bookmarkStart w:id="6" w:name="_Hlk83115589"/>
      <w:bookmarkStart w:id="7" w:name="_Hlk72501426"/>
      <w:r>
        <w:t>The main changes to this template are:</w:t>
      </w:r>
    </w:p>
    <w:p w14:paraId="4336D693" w14:textId="72932499" w:rsidR="00553E64" w:rsidRDefault="00161353" w:rsidP="00161353">
      <w:pPr>
        <w:pStyle w:val="HNDocsBodyText"/>
        <w:numPr>
          <w:ilvl w:val="0"/>
          <w:numId w:val="41"/>
        </w:numPr>
        <w:spacing w:after="120"/>
        <w:ind w:left="777" w:hanging="357"/>
      </w:pPr>
      <w:r>
        <w:t>u</w:t>
      </w:r>
      <w:r w:rsidR="00553E64">
        <w:t>pdating the timeframe in which complaints need to be responded by</w:t>
      </w:r>
    </w:p>
    <w:p w14:paraId="29D29966" w14:textId="77777777" w:rsidR="00553E64" w:rsidRDefault="00553E64" w:rsidP="00161353">
      <w:pPr>
        <w:pStyle w:val="HNDocsBodyText"/>
        <w:numPr>
          <w:ilvl w:val="0"/>
          <w:numId w:val="41"/>
        </w:numPr>
        <w:spacing w:after="120"/>
        <w:ind w:left="777" w:hanging="357"/>
      </w:pPr>
      <w:r>
        <w:t>the removal of the Grandfathered Commission section</w:t>
      </w:r>
    </w:p>
    <w:p w14:paraId="0F53A949" w14:textId="77777777" w:rsidR="00553E64" w:rsidRDefault="00553E64" w:rsidP="00161353">
      <w:pPr>
        <w:pStyle w:val="HNDocsBodyText"/>
        <w:numPr>
          <w:ilvl w:val="0"/>
          <w:numId w:val="41"/>
        </w:numPr>
        <w:spacing w:after="120"/>
        <w:ind w:left="777" w:hanging="357"/>
      </w:pPr>
      <w:r>
        <w:t>additional guidance when disclosing lack of independence for MDA providers</w:t>
      </w:r>
    </w:p>
    <w:p w14:paraId="17921716" w14:textId="77777777" w:rsidR="00553E64" w:rsidRPr="001175A4" w:rsidRDefault="00553E64" w:rsidP="00553E64">
      <w:pPr>
        <w:pStyle w:val="HNDocsBodyText"/>
        <w:numPr>
          <w:ilvl w:val="0"/>
          <w:numId w:val="41"/>
        </w:numPr>
      </w:pPr>
      <w:r>
        <w:t xml:space="preserve">changing some of the disclosure of lack of independence options to aqua text </w:t>
      </w:r>
    </w:p>
    <w:bookmarkEnd w:id="6"/>
    <w:p w14:paraId="5A8C57FE" w14:textId="40C1569B" w:rsidR="00553E64" w:rsidRDefault="00553E64" w:rsidP="00553E64">
      <w:pPr>
        <w:pStyle w:val="HNDocsBodyText"/>
      </w:pPr>
      <w:r w:rsidRPr="00F87E88">
        <w:t xml:space="preserve">There have also been some </w:t>
      </w:r>
      <w:r w:rsidR="00161353">
        <w:t xml:space="preserve">minor editorial and </w:t>
      </w:r>
      <w:r w:rsidRPr="00F87E88">
        <w:t xml:space="preserve">formatting changes </w:t>
      </w:r>
      <w:r w:rsidR="00161353">
        <w:t xml:space="preserve">made </w:t>
      </w:r>
      <w:r w:rsidRPr="00F87E88">
        <w:t>to this document.</w:t>
      </w:r>
    </w:p>
    <w:bookmarkEnd w:id="7"/>
    <w:p w14:paraId="4E9C784D" w14:textId="3B0BD307" w:rsidR="00057985" w:rsidRDefault="00057985" w:rsidP="00057985">
      <w:pPr>
        <w:pStyle w:val="HNDocsBodyText"/>
      </w:pPr>
      <w:r w:rsidRPr="00F87E88">
        <w:t>.</w:t>
      </w:r>
    </w:p>
    <w:p w14:paraId="049CF263" w14:textId="77777777" w:rsidR="00723F1C" w:rsidRDefault="00723F1C" w:rsidP="000361DC">
      <w:pPr>
        <w:pStyle w:val="HNDocsBodyText"/>
      </w:pPr>
    </w:p>
    <w:p w14:paraId="140B74B8" w14:textId="77777777" w:rsidR="00723F1C" w:rsidRPr="00EE1EC0" w:rsidRDefault="00723F1C" w:rsidP="00EE1EC0">
      <w:pPr>
        <w:pStyle w:val="HNDocsBodyText"/>
      </w:pPr>
      <w:r w:rsidRPr="00EE1EC0">
        <w:br w:type="page"/>
      </w:r>
    </w:p>
    <w:p w14:paraId="16896587" w14:textId="77777777" w:rsidR="00723F1C" w:rsidRDefault="00723F1C" w:rsidP="000361DC">
      <w:pPr>
        <w:pStyle w:val="HNDocsHeading1"/>
        <w:jc w:val="center"/>
        <w:rPr>
          <w:lang w:val="en-US"/>
        </w:rPr>
      </w:pPr>
      <w:r>
        <w:rPr>
          <w:lang w:val="en-US"/>
        </w:rPr>
        <w:lastRenderedPageBreak/>
        <w:t xml:space="preserve">Financial </w:t>
      </w:r>
      <w:r w:rsidRPr="000361DC">
        <w:t>Services</w:t>
      </w:r>
      <w:r>
        <w:rPr>
          <w:lang w:val="en-US"/>
        </w:rPr>
        <w:t xml:space="preserve"> Guide (FSG)</w:t>
      </w:r>
    </w:p>
    <w:p w14:paraId="3008A5BD" w14:textId="77777777" w:rsidR="00723F1C" w:rsidRPr="00643240" w:rsidRDefault="00723F1C" w:rsidP="00723F1C">
      <w:pPr>
        <w:pStyle w:val="HNDocsBodyText"/>
      </w:pPr>
      <w:bookmarkStart w:id="8" w:name="_Toc119402002"/>
      <w:bookmarkStart w:id="9" w:name="_Toc212618671"/>
      <w:r>
        <w:t xml:space="preserve">This Financial Services Guide was prepared on </w:t>
      </w:r>
      <w:r w:rsidRPr="00643240">
        <w:rPr>
          <w:highlight w:val="yellow"/>
        </w:rPr>
        <w:t>[insert date the FSG was prepared</w:t>
      </w:r>
      <w:r w:rsidRPr="00643240">
        <w:t>].</w:t>
      </w:r>
    </w:p>
    <w:p w14:paraId="56CB1841" w14:textId="77777777" w:rsidR="00723F1C" w:rsidRPr="002D674E" w:rsidRDefault="00723F1C" w:rsidP="00723F1C">
      <w:pPr>
        <w:pStyle w:val="HNDocsHeading2"/>
      </w:pPr>
      <w:r w:rsidRPr="002D674E">
        <w:t>What is a Financial Services Guide?</w:t>
      </w:r>
      <w:bookmarkEnd w:id="8"/>
      <w:bookmarkEnd w:id="9"/>
    </w:p>
    <w:p w14:paraId="486E5239" w14:textId="77777777" w:rsidR="00723F1C" w:rsidRDefault="00723F1C" w:rsidP="00723F1C">
      <w:pPr>
        <w:pStyle w:val="HNDocsBodyText"/>
      </w:pPr>
      <w:r>
        <w:t>This Financial Services Guide (‘FSG’) helps you understand and decide if you wish to use the financial services we are able to offer you.</w:t>
      </w:r>
    </w:p>
    <w:p w14:paraId="4B554207" w14:textId="77777777" w:rsidR="00723F1C" w:rsidRPr="003D3847" w:rsidRDefault="00723F1C" w:rsidP="00723F1C">
      <w:pPr>
        <w:pStyle w:val="HNDocsBodyText"/>
      </w:pPr>
      <w:r w:rsidRPr="002A31CB">
        <w:t xml:space="preserve">The </w:t>
      </w:r>
      <w:r>
        <w:t>L</w:t>
      </w:r>
      <w:r w:rsidRPr="002A31CB">
        <w:t>icensee and its employees (including any employees of a related body corporate) are collectively referred to as “us, we, our” throughout this FSG.</w:t>
      </w:r>
    </w:p>
    <w:p w14:paraId="20D2E0E9" w14:textId="77777777" w:rsidR="00723F1C" w:rsidRDefault="00723F1C" w:rsidP="00723F1C">
      <w:pPr>
        <w:pStyle w:val="HNDocsBodyText"/>
      </w:pPr>
      <w:r>
        <w:t xml:space="preserve"> This FSG sets out the services we provide.  It tells you:</w:t>
      </w:r>
    </w:p>
    <w:p w14:paraId="550B005E" w14:textId="77777777" w:rsidR="00723F1C" w:rsidRDefault="00723F1C" w:rsidP="00723F1C">
      <w:pPr>
        <w:pStyle w:val="HNDocsBulletpoints"/>
      </w:pPr>
      <w:r>
        <w:t>who we are and how we can be contacted;</w:t>
      </w:r>
    </w:p>
    <w:p w14:paraId="2219F90E" w14:textId="77777777" w:rsidR="00723F1C" w:rsidRDefault="00723F1C" w:rsidP="00723F1C">
      <w:pPr>
        <w:pStyle w:val="HNDocsBulletpoints"/>
      </w:pPr>
      <w:r>
        <w:t>what services and products we are authorised to provide to you;</w:t>
      </w:r>
    </w:p>
    <w:p w14:paraId="59745EEF" w14:textId="77777777" w:rsidR="00723F1C" w:rsidRDefault="00723F1C" w:rsidP="00723F1C">
      <w:pPr>
        <w:pStyle w:val="HNDocsBulletpoints"/>
      </w:pPr>
      <w:r>
        <w:t>how we (and any other relevant parties) are paid; and</w:t>
      </w:r>
    </w:p>
    <w:p w14:paraId="606AD049" w14:textId="77777777" w:rsidR="00723F1C" w:rsidRDefault="00723F1C" w:rsidP="00723F1C">
      <w:pPr>
        <w:pStyle w:val="HNDocsBulletpoints"/>
        <w:spacing w:after="240"/>
        <w:ind w:left="714" w:hanging="357"/>
      </w:pPr>
      <w:r>
        <w:t>how we deal with complaints.</w:t>
      </w:r>
    </w:p>
    <w:p w14:paraId="23625A05" w14:textId="37D7A239" w:rsidR="00DB518E" w:rsidRDefault="00DB518E" w:rsidP="00DB518E">
      <w:pPr>
        <w:pStyle w:val="HNDocsBodyText"/>
        <w:rPr>
          <w:bCs w:val="0"/>
          <w:color w:val="000000" w:themeColor="text1"/>
          <w:highlight w:val="yellow"/>
          <w:lang w:val="en-US"/>
        </w:rPr>
      </w:pPr>
      <w:bookmarkStart w:id="10" w:name="_Hlk71818113"/>
      <w:r>
        <w:rPr>
          <w:b/>
          <w:color w:val="000000" w:themeColor="text1"/>
          <w:highlight w:val="yellow"/>
          <w:lang w:val="en-US"/>
        </w:rPr>
        <w:t xml:space="preserve">[Disclosure of lack of Independence] </w:t>
      </w:r>
      <w:r w:rsidR="00CF6116">
        <w:rPr>
          <w:color w:val="000000" w:themeColor="text1"/>
          <w:highlight w:val="yellow"/>
          <w:lang w:val="en-US"/>
        </w:rPr>
        <w:t>This disclosure is required where</w:t>
      </w:r>
      <w:r w:rsidR="00545009">
        <w:rPr>
          <w:color w:val="000000" w:themeColor="text1"/>
          <w:highlight w:val="yellow"/>
          <w:lang w:val="en-US"/>
        </w:rPr>
        <w:t xml:space="preserve"> the </w:t>
      </w:r>
      <w:r w:rsidR="00511586">
        <w:rPr>
          <w:color w:val="000000" w:themeColor="text1"/>
          <w:highlight w:val="yellow"/>
          <w:lang w:val="en-US"/>
        </w:rPr>
        <w:t>L</w:t>
      </w:r>
      <w:r w:rsidR="00545009">
        <w:rPr>
          <w:color w:val="000000" w:themeColor="text1"/>
          <w:highlight w:val="yellow"/>
          <w:lang w:val="en-US"/>
        </w:rPr>
        <w:t>icensee’s authorisations include the provision of personal advice to retail clients</w:t>
      </w:r>
      <w:r w:rsidR="000F3BEF">
        <w:rPr>
          <w:color w:val="000000" w:themeColor="text1"/>
          <w:highlight w:val="yellow"/>
          <w:lang w:val="en-US"/>
        </w:rPr>
        <w:t>,</w:t>
      </w:r>
      <w:r w:rsidR="00545009">
        <w:rPr>
          <w:color w:val="000000" w:themeColor="text1"/>
          <w:highlight w:val="yellow"/>
          <w:lang w:val="en-US"/>
        </w:rPr>
        <w:t xml:space="preserve"> and </w:t>
      </w:r>
      <w:r w:rsidR="00CF6116">
        <w:rPr>
          <w:color w:val="000000" w:themeColor="text1"/>
          <w:highlight w:val="yellow"/>
          <w:lang w:val="en-US"/>
        </w:rPr>
        <w:t xml:space="preserve">the use of </w:t>
      </w:r>
      <w:r w:rsidR="00CF6116">
        <w:rPr>
          <w:bCs w:val="0"/>
          <w:color w:val="000000" w:themeColor="text1"/>
          <w:highlight w:val="yellow"/>
          <w:lang w:val="en-US"/>
        </w:rPr>
        <w:t>the</w:t>
      </w:r>
      <w:r w:rsidR="00CF6116">
        <w:rPr>
          <w:color w:val="000000" w:themeColor="text1"/>
          <w:highlight w:val="yellow"/>
          <w:lang w:val="en-US"/>
        </w:rPr>
        <w:t xml:space="preserve"> restricted word</w:t>
      </w:r>
      <w:r w:rsidR="00CF6116">
        <w:rPr>
          <w:bCs w:val="0"/>
          <w:color w:val="000000" w:themeColor="text1"/>
          <w:highlight w:val="yellow"/>
          <w:lang w:val="en-US"/>
        </w:rPr>
        <w:t xml:space="preserve">s </w:t>
      </w:r>
      <w:r w:rsidR="005A55C2">
        <w:rPr>
          <w:bCs w:val="0"/>
          <w:color w:val="000000" w:themeColor="text1"/>
          <w:highlight w:val="yellow"/>
          <w:lang w:val="en-US"/>
        </w:rPr>
        <w:t>“</w:t>
      </w:r>
      <w:r w:rsidR="00CF6116">
        <w:rPr>
          <w:bCs w:val="0"/>
          <w:color w:val="000000" w:themeColor="text1"/>
          <w:highlight w:val="yellow"/>
          <w:lang w:val="en-US"/>
        </w:rPr>
        <w:t>independent</w:t>
      </w:r>
      <w:r w:rsidR="005A55C2">
        <w:rPr>
          <w:bCs w:val="0"/>
          <w:color w:val="000000" w:themeColor="text1"/>
          <w:highlight w:val="yellow"/>
          <w:lang w:val="en-US"/>
        </w:rPr>
        <w:t>”</w:t>
      </w:r>
      <w:r w:rsidR="00CF6116">
        <w:rPr>
          <w:bCs w:val="0"/>
          <w:color w:val="000000" w:themeColor="text1"/>
          <w:highlight w:val="yellow"/>
          <w:lang w:val="en-US"/>
        </w:rPr>
        <w:t xml:space="preserve">, </w:t>
      </w:r>
      <w:r w:rsidR="005A55C2">
        <w:rPr>
          <w:bCs w:val="0"/>
          <w:color w:val="000000" w:themeColor="text1"/>
          <w:highlight w:val="yellow"/>
          <w:lang w:val="en-US"/>
        </w:rPr>
        <w:t>‘</w:t>
      </w:r>
      <w:r w:rsidR="00CF6116">
        <w:rPr>
          <w:bCs w:val="0"/>
          <w:color w:val="000000" w:themeColor="text1"/>
          <w:highlight w:val="yellow"/>
          <w:lang w:val="en-US"/>
        </w:rPr>
        <w:t>impartial</w:t>
      </w:r>
      <w:r w:rsidR="005A55C2">
        <w:rPr>
          <w:bCs w:val="0"/>
          <w:color w:val="000000" w:themeColor="text1"/>
          <w:highlight w:val="yellow"/>
          <w:lang w:val="en-US"/>
        </w:rPr>
        <w:t>”</w:t>
      </w:r>
      <w:r w:rsidR="00CF6116">
        <w:rPr>
          <w:bCs w:val="0"/>
          <w:color w:val="000000" w:themeColor="text1"/>
          <w:highlight w:val="yellow"/>
          <w:lang w:val="en-US"/>
        </w:rPr>
        <w:t xml:space="preserve"> or </w:t>
      </w:r>
      <w:r w:rsidR="005A55C2">
        <w:rPr>
          <w:bCs w:val="0"/>
          <w:color w:val="000000" w:themeColor="text1"/>
          <w:highlight w:val="yellow"/>
          <w:lang w:val="en-US"/>
        </w:rPr>
        <w:t>‘</w:t>
      </w:r>
      <w:r w:rsidR="00CF6116">
        <w:rPr>
          <w:bCs w:val="0"/>
          <w:color w:val="000000" w:themeColor="text1"/>
          <w:highlight w:val="yellow"/>
          <w:lang w:val="en-US"/>
        </w:rPr>
        <w:t>unbiased</w:t>
      </w:r>
      <w:r w:rsidR="005A55C2">
        <w:rPr>
          <w:bCs w:val="0"/>
          <w:color w:val="000000" w:themeColor="text1"/>
          <w:highlight w:val="yellow"/>
          <w:lang w:val="en-US"/>
        </w:rPr>
        <w:t>”</w:t>
      </w:r>
      <w:r w:rsidR="00CF6116">
        <w:rPr>
          <w:color w:val="000000" w:themeColor="text1"/>
          <w:highlight w:val="yellow"/>
          <w:lang w:val="en-US"/>
        </w:rPr>
        <w:t xml:space="preserve"> would be a contravention by the </w:t>
      </w:r>
      <w:r w:rsidR="00511586">
        <w:rPr>
          <w:color w:val="000000" w:themeColor="text1"/>
          <w:highlight w:val="yellow"/>
          <w:lang w:val="en-US"/>
        </w:rPr>
        <w:t>L</w:t>
      </w:r>
      <w:r w:rsidR="00CF6116">
        <w:rPr>
          <w:color w:val="000000" w:themeColor="text1"/>
          <w:highlight w:val="yellow"/>
          <w:lang w:val="en-US"/>
        </w:rPr>
        <w:t xml:space="preserve">icensee under </w:t>
      </w:r>
      <w:r w:rsidR="000F3BEF">
        <w:rPr>
          <w:color w:val="000000" w:themeColor="text1"/>
          <w:highlight w:val="yellow"/>
          <w:lang w:val="en-US"/>
        </w:rPr>
        <w:t>s</w:t>
      </w:r>
      <w:r w:rsidR="00CF6116">
        <w:rPr>
          <w:color w:val="000000" w:themeColor="text1"/>
          <w:highlight w:val="yellow"/>
          <w:lang w:val="en-US"/>
        </w:rPr>
        <w:t xml:space="preserve">923A of the </w:t>
      </w:r>
      <w:r w:rsidR="000F3BEF" w:rsidRPr="000F3BEF">
        <w:rPr>
          <w:color w:val="000000" w:themeColor="text1"/>
          <w:highlight w:val="yellow"/>
          <w:lang w:val="en-US"/>
        </w:rPr>
        <w:t>Act</w:t>
      </w:r>
      <w:r w:rsidR="00CF6116">
        <w:rPr>
          <w:color w:val="000000" w:themeColor="text1"/>
          <w:highlight w:val="yellow"/>
          <w:lang w:val="en-US"/>
        </w:rPr>
        <w:t xml:space="preserve">.  Where the </w:t>
      </w:r>
      <w:r w:rsidR="00511586">
        <w:rPr>
          <w:color w:val="000000" w:themeColor="text1"/>
          <w:highlight w:val="yellow"/>
          <w:lang w:val="en-US"/>
        </w:rPr>
        <w:t>L</w:t>
      </w:r>
      <w:r w:rsidR="00CF6116">
        <w:rPr>
          <w:color w:val="000000" w:themeColor="text1"/>
          <w:highlight w:val="yellow"/>
          <w:lang w:val="en-US"/>
        </w:rPr>
        <w:t xml:space="preserve">icensee can use </w:t>
      </w:r>
      <w:r w:rsidR="00CF6116">
        <w:rPr>
          <w:bCs w:val="0"/>
          <w:color w:val="000000" w:themeColor="text1"/>
          <w:highlight w:val="yellow"/>
          <w:lang w:val="en-US"/>
        </w:rPr>
        <w:t>the</w:t>
      </w:r>
      <w:r w:rsidR="00CF6116">
        <w:rPr>
          <w:color w:val="000000" w:themeColor="text1"/>
          <w:highlight w:val="yellow"/>
          <w:lang w:val="en-US"/>
        </w:rPr>
        <w:t xml:space="preserve"> word</w:t>
      </w:r>
      <w:r w:rsidR="00CF6116">
        <w:rPr>
          <w:bCs w:val="0"/>
          <w:color w:val="000000" w:themeColor="text1"/>
          <w:highlight w:val="yellow"/>
          <w:lang w:val="en-US"/>
        </w:rPr>
        <w:t>s independent, impartial or unbiased</w:t>
      </w:r>
      <w:r w:rsidR="00CF6116">
        <w:rPr>
          <w:color w:val="000000" w:themeColor="text1"/>
          <w:highlight w:val="yellow"/>
          <w:lang w:val="en-US"/>
        </w:rPr>
        <w:t>, this disclosure is not required.</w:t>
      </w:r>
      <w:r w:rsidR="00261AAE">
        <w:rPr>
          <w:color w:val="000000" w:themeColor="text1"/>
          <w:highlight w:val="yellow"/>
          <w:lang w:val="en-US"/>
        </w:rPr>
        <w:t xml:space="preserve">  The disclosure </w:t>
      </w:r>
      <w:r w:rsidR="00261AAE">
        <w:rPr>
          <w:bCs w:val="0"/>
          <w:color w:val="000000" w:themeColor="text1"/>
          <w:highlight w:val="yellow"/>
          <w:lang w:val="en-US"/>
        </w:rPr>
        <w:t xml:space="preserve">must be included on </w:t>
      </w:r>
      <w:r w:rsidR="004235AA">
        <w:rPr>
          <w:bCs w:val="0"/>
          <w:color w:val="000000" w:themeColor="text1"/>
          <w:highlight w:val="yellow"/>
          <w:lang w:val="en-US"/>
        </w:rPr>
        <w:t xml:space="preserve">the </w:t>
      </w:r>
      <w:r w:rsidR="00261AAE">
        <w:rPr>
          <w:bCs w:val="0"/>
          <w:color w:val="000000" w:themeColor="text1"/>
          <w:highlight w:val="yellow"/>
          <w:lang w:val="en-US"/>
        </w:rPr>
        <w:t xml:space="preserve">first substantive page of the FSG.  The first substantive page is not the front cover and it cannot be on a blank page or in </w:t>
      </w:r>
      <w:r w:rsidR="000F3BEF">
        <w:rPr>
          <w:bCs w:val="0"/>
          <w:color w:val="000000" w:themeColor="text1"/>
          <w:highlight w:val="yellow"/>
          <w:lang w:val="en-US"/>
        </w:rPr>
        <w:t xml:space="preserve">the </w:t>
      </w:r>
      <w:r w:rsidR="00261AAE">
        <w:rPr>
          <w:bCs w:val="0"/>
          <w:color w:val="000000" w:themeColor="text1"/>
          <w:highlight w:val="yellow"/>
          <w:lang w:val="en-US"/>
        </w:rPr>
        <w:t>footnotes.</w:t>
      </w:r>
    </w:p>
    <w:p w14:paraId="0F242B71" w14:textId="57F9607C" w:rsidR="00DB518E" w:rsidRPr="00553E64" w:rsidRDefault="00DB518E" w:rsidP="00DB518E">
      <w:pPr>
        <w:pStyle w:val="HNDocsHeading2"/>
        <w:rPr>
          <w:rFonts w:ascii="Arial" w:hAnsi="Arial"/>
          <w:sz w:val="20"/>
          <w:szCs w:val="20"/>
          <w:lang w:val="en-US"/>
        </w:rPr>
      </w:pPr>
      <w:r>
        <w:rPr>
          <w:lang w:val="en-US"/>
        </w:rPr>
        <w:t xml:space="preserve">Not Independent / Lack of Independence </w:t>
      </w:r>
      <w:r w:rsidR="000F3BEF">
        <w:rPr>
          <w:lang w:val="en-US"/>
        </w:rPr>
        <w:t xml:space="preserve"> </w:t>
      </w:r>
      <w:r>
        <w:rPr>
          <w:sz w:val="22"/>
          <w:szCs w:val="22"/>
          <w:highlight w:val="yellow"/>
          <w:lang w:val="en-US"/>
        </w:rPr>
        <w:t xml:space="preserve">[Title of this section must include words ‘Not </w:t>
      </w:r>
      <w:r w:rsidRPr="00553E64">
        <w:rPr>
          <w:rFonts w:ascii="Arial" w:hAnsi="Arial"/>
          <w:sz w:val="20"/>
          <w:szCs w:val="20"/>
          <w:highlight w:val="yellow"/>
          <w:lang w:val="en-US"/>
        </w:rPr>
        <w:t>Independent’ or ‘Lack of Independence’ or a phrase of similar meaning]</w:t>
      </w:r>
    </w:p>
    <w:p w14:paraId="2C529A25" w14:textId="042C3AA0" w:rsidR="00671E6F" w:rsidRPr="000831FE" w:rsidRDefault="00671E6F" w:rsidP="000831FE">
      <w:pPr>
        <w:pStyle w:val="HNDocsBodyText"/>
        <w:rPr>
          <w:b/>
          <w:bCs w:val="0"/>
          <w:highlight w:val="yellow"/>
          <w:u w:val="single"/>
        </w:rPr>
      </w:pPr>
      <w:bookmarkStart w:id="11" w:name="_Hlk83115214"/>
      <w:r w:rsidRPr="000831FE">
        <w:rPr>
          <w:b/>
          <w:bCs w:val="0"/>
          <w:highlight w:val="yellow"/>
          <w:u w:val="single"/>
        </w:rPr>
        <w:t xml:space="preserve">Additional </w:t>
      </w:r>
      <w:r w:rsidR="005A55C2">
        <w:rPr>
          <w:b/>
          <w:bCs w:val="0"/>
          <w:highlight w:val="yellow"/>
          <w:u w:val="single"/>
        </w:rPr>
        <w:t>i</w:t>
      </w:r>
      <w:r w:rsidRPr="000831FE">
        <w:rPr>
          <w:b/>
          <w:bCs w:val="0"/>
          <w:highlight w:val="yellow"/>
          <w:u w:val="single"/>
        </w:rPr>
        <w:t>nstructions for MDA providers</w:t>
      </w:r>
    </w:p>
    <w:p w14:paraId="6716C38D" w14:textId="42148DDD" w:rsidR="00671E6F" w:rsidRPr="00553E64" w:rsidRDefault="00671E6F" w:rsidP="000831FE">
      <w:pPr>
        <w:pStyle w:val="HNDocsBodyText"/>
        <w:rPr>
          <w:rFonts w:eastAsiaTheme="minorHAnsi"/>
          <w:highlight w:val="yellow"/>
        </w:rPr>
      </w:pPr>
      <w:r w:rsidRPr="00553E64">
        <w:rPr>
          <w:highlight w:val="yellow"/>
        </w:rPr>
        <w:t>Whether or not the providing entity’s MDA arrangements will require disclosure in the FSG will depend on the arrangement between the MDA provider (i</w:t>
      </w:r>
      <w:r w:rsidR="00511586">
        <w:rPr>
          <w:highlight w:val="yellow"/>
        </w:rPr>
        <w:t>.</w:t>
      </w:r>
      <w:r w:rsidRPr="00553E64">
        <w:rPr>
          <w:highlight w:val="yellow"/>
        </w:rPr>
        <w:t>e</w:t>
      </w:r>
      <w:r w:rsidR="00511586">
        <w:rPr>
          <w:highlight w:val="yellow"/>
        </w:rPr>
        <w:t>.</w:t>
      </w:r>
      <w:r w:rsidRPr="00553E64">
        <w:rPr>
          <w:highlight w:val="yellow"/>
        </w:rPr>
        <w:t xml:space="preserve"> the licensee that issues the MDA service) and the providing entity.  The “providing entity” will either be the </w:t>
      </w:r>
      <w:r w:rsidR="00511586">
        <w:rPr>
          <w:highlight w:val="yellow"/>
        </w:rPr>
        <w:t>L</w:t>
      </w:r>
      <w:r w:rsidRPr="00553E64">
        <w:rPr>
          <w:highlight w:val="yellow"/>
        </w:rPr>
        <w:t>icensee, or the CAR and/or the individual authorised representative.</w:t>
      </w:r>
    </w:p>
    <w:p w14:paraId="6F58E2C5" w14:textId="7293E69A" w:rsidR="00671E6F" w:rsidRPr="00553E64" w:rsidRDefault="00671E6F" w:rsidP="000831FE">
      <w:pPr>
        <w:pStyle w:val="HNDocsBodyText"/>
        <w:rPr>
          <w:highlight w:val="yellow"/>
        </w:rPr>
      </w:pPr>
      <w:r w:rsidRPr="00553E64">
        <w:rPr>
          <w:highlight w:val="yellow"/>
        </w:rPr>
        <w:t xml:space="preserve">Based on </w:t>
      </w:r>
      <w:r w:rsidR="005A55C2">
        <w:rPr>
          <w:highlight w:val="yellow"/>
        </w:rPr>
        <w:t>s</w:t>
      </w:r>
      <w:r w:rsidRPr="00553E64">
        <w:rPr>
          <w:highlight w:val="yellow"/>
        </w:rPr>
        <w:t>923A, if:</w:t>
      </w:r>
    </w:p>
    <w:p w14:paraId="400084A5" w14:textId="72D3E553" w:rsidR="00671E6F" w:rsidRPr="00553E64" w:rsidRDefault="00671E6F" w:rsidP="000831FE">
      <w:pPr>
        <w:pStyle w:val="HNDocsBulletpoints"/>
        <w:rPr>
          <w:highlight w:val="yellow"/>
        </w:rPr>
      </w:pPr>
      <w:r w:rsidRPr="00553E64">
        <w:rPr>
          <w:highlight w:val="yellow"/>
        </w:rPr>
        <w:t xml:space="preserve">the adviser, licensee, CAR or related body corporate of the providing entity receives a commission, payment or other benefit from the MDA provider </w:t>
      </w:r>
      <w:r w:rsidR="001B4576" w:rsidRPr="00553E64">
        <w:rPr>
          <w:highlight w:val="yellow"/>
        </w:rPr>
        <w:t xml:space="preserve">or other financial product issuer that is recommended as part of the MDA service </w:t>
      </w:r>
      <w:r w:rsidRPr="00553E64">
        <w:rPr>
          <w:highlight w:val="yellow"/>
        </w:rPr>
        <w:t>(in particular, consider common shareholding amongst licensees and CARs</w:t>
      </w:r>
      <w:r w:rsidR="001B4576" w:rsidRPr="00553E64">
        <w:rPr>
          <w:highlight w:val="yellow"/>
        </w:rPr>
        <w:t xml:space="preserve"> and platform providers</w:t>
      </w:r>
      <w:r w:rsidRPr="00553E64">
        <w:rPr>
          <w:highlight w:val="yellow"/>
        </w:rPr>
        <w:t>); or</w:t>
      </w:r>
    </w:p>
    <w:p w14:paraId="6EED8920" w14:textId="77777777" w:rsidR="00671E6F" w:rsidRPr="00553E64" w:rsidRDefault="00671E6F" w:rsidP="000831FE">
      <w:pPr>
        <w:pStyle w:val="HNDocsBulletpoints"/>
        <w:rPr>
          <w:highlight w:val="yellow"/>
        </w:rPr>
      </w:pPr>
      <w:r w:rsidRPr="00553E64">
        <w:rPr>
          <w:highlight w:val="yellow"/>
        </w:rPr>
        <w:t>the providing entity is limited as to the MDA providers it is able to recommend; or</w:t>
      </w:r>
    </w:p>
    <w:p w14:paraId="29B29300" w14:textId="77777777" w:rsidR="00671E6F" w:rsidRPr="00553E64" w:rsidRDefault="00671E6F" w:rsidP="000831FE">
      <w:pPr>
        <w:pStyle w:val="HNDocsBulletpoints"/>
        <w:rPr>
          <w:highlight w:val="yellow"/>
        </w:rPr>
      </w:pPr>
      <w:r w:rsidRPr="00553E64">
        <w:rPr>
          <w:highlight w:val="yellow"/>
        </w:rPr>
        <w:t>there is an association or relationship between the adviser and the MDA provider that might create a conflict of interest or influence the adviser (for example, if the AR’s authorising licensee is the MDA provider),</w:t>
      </w:r>
    </w:p>
    <w:p w14:paraId="7D05095C" w14:textId="42BE42F0" w:rsidR="00671E6F" w:rsidRPr="000831FE" w:rsidRDefault="00671E6F" w:rsidP="000831FE">
      <w:pPr>
        <w:pStyle w:val="HNDocsBodyText"/>
      </w:pPr>
      <w:r w:rsidRPr="000831FE">
        <w:rPr>
          <w:highlight w:val="yellow"/>
        </w:rPr>
        <w:t>then the lack of independence disclosure will need to be included, and will need to factor in the MDA arrangements</w:t>
      </w:r>
      <w:bookmarkEnd w:id="11"/>
      <w:r w:rsidRPr="000831FE">
        <w:t>.</w:t>
      </w:r>
    </w:p>
    <w:p w14:paraId="1114E314" w14:textId="14F74A05" w:rsidR="00671E6F" w:rsidRPr="00671E6F" w:rsidRDefault="00671E6F" w:rsidP="00553E64">
      <w:pPr>
        <w:pStyle w:val="HNDocsBodyText"/>
        <w:rPr>
          <w:lang w:val="en-US"/>
        </w:rPr>
      </w:pPr>
      <w:r>
        <w:rPr>
          <w:noProof/>
        </w:rPr>
        <w:lastRenderedPageBreak/>
        <mc:AlternateContent>
          <mc:Choice Requires="wps">
            <w:drawing>
              <wp:anchor distT="45720" distB="45720" distL="114300" distR="114300" simplePos="0" relativeHeight="251665408" behindDoc="0" locked="0" layoutInCell="1" allowOverlap="1" wp14:anchorId="748DD528" wp14:editId="6DDF548A">
                <wp:simplePos x="0" y="0"/>
                <wp:positionH relativeFrom="margin">
                  <wp:align>right</wp:align>
                </wp:positionH>
                <wp:positionV relativeFrom="paragraph">
                  <wp:posOffset>216535</wp:posOffset>
                </wp:positionV>
                <wp:extent cx="6086475" cy="1991995"/>
                <wp:effectExtent l="0" t="0" r="28575" b="2349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991995"/>
                        </a:xfrm>
                        <a:prstGeom prst="rect">
                          <a:avLst/>
                        </a:prstGeom>
                        <a:solidFill>
                          <a:srgbClr val="FFFFFF"/>
                        </a:solidFill>
                        <a:ln w="9525">
                          <a:solidFill>
                            <a:srgbClr val="000000"/>
                          </a:solidFill>
                          <a:miter lim="800000"/>
                          <a:headEnd/>
                          <a:tailEnd/>
                        </a:ln>
                      </wps:spPr>
                      <wps:txbx>
                        <w:txbxContent>
                          <w:p w14:paraId="003747C3" w14:textId="46B0F455" w:rsidR="00DB518E" w:rsidRDefault="00DB518E" w:rsidP="000831FE">
                            <w:pPr>
                              <w:pStyle w:val="HNDocsBodyText"/>
                            </w:pPr>
                            <w:r>
                              <w:t xml:space="preserve">## is not able to describe itself as being independent, impartial or unbiased </w:t>
                            </w:r>
                            <w:r w:rsidR="005F3C69">
                              <w:t>because</w:t>
                            </w:r>
                            <w:r>
                              <w:t>:</w:t>
                            </w:r>
                            <w:r w:rsidR="000F3BEF">
                              <w:t xml:space="preserve"> </w:t>
                            </w:r>
                            <w:r>
                              <w:rPr>
                                <w:highlight w:val="yellow"/>
                              </w:rPr>
                              <w:t>[Delete those that do not apply]</w:t>
                            </w:r>
                          </w:p>
                          <w:p w14:paraId="63C8AA6D" w14:textId="553BDAA1" w:rsidR="00DB518E" w:rsidRDefault="00DB518E" w:rsidP="000831FE">
                            <w:pPr>
                              <w:pStyle w:val="HNDocsBulletpoints"/>
                            </w:pPr>
                            <w:r>
                              <w:t>We receive commissions, volume-based payments</w:t>
                            </w:r>
                            <w:r w:rsidR="00142B39">
                              <w:t xml:space="preserve">, </w:t>
                            </w:r>
                            <w:r>
                              <w:t>gifts</w:t>
                            </w:r>
                            <w:r w:rsidR="00142B39">
                              <w:t xml:space="preserve"> or benefits</w:t>
                            </w:r>
                            <w:r>
                              <w:t xml:space="preserve"> from </w:t>
                            </w:r>
                            <w:r>
                              <w:rPr>
                                <w:highlight w:val="yellow"/>
                              </w:rPr>
                              <w:t>[financial services provider]</w:t>
                            </w:r>
                            <w:r w:rsidR="000F3BEF">
                              <w:t xml:space="preserve"> </w:t>
                            </w:r>
                            <w:r>
                              <w:t>which may influence the advice we</w:t>
                            </w:r>
                            <w:r w:rsidR="008E347A">
                              <w:t xml:space="preserve"> or our representatives</w:t>
                            </w:r>
                            <w:r>
                              <w:t xml:space="preserve"> provide</w:t>
                            </w:r>
                          </w:p>
                          <w:p w14:paraId="243F0658" w14:textId="743F26EE" w:rsidR="00DB518E" w:rsidRDefault="00DB518E" w:rsidP="0020146E">
                            <w:pPr>
                              <w:pStyle w:val="HNDocsBulletpoints"/>
                            </w:pPr>
                            <w:r>
                              <w:t>Our</w:t>
                            </w:r>
                            <w:r w:rsidR="005A55C2">
                              <w:t xml:space="preserve"> </w:t>
                            </w:r>
                            <w:r w:rsidR="000F3BEF">
                              <w:t>d</w:t>
                            </w:r>
                            <w:r w:rsidR="00A5601E">
                              <w:t>irector;</w:t>
                            </w:r>
                            <w:r w:rsidR="005A55C2">
                              <w:t xml:space="preserve"> a </w:t>
                            </w:r>
                            <w:r w:rsidR="000F3BEF">
                              <w:t>r</w:t>
                            </w:r>
                            <w:r w:rsidR="00A5601E">
                              <w:t>elated entity or a director of a related entity; or</w:t>
                            </w:r>
                            <w:r w:rsidR="005A55C2">
                              <w:t xml:space="preserve"> an </w:t>
                            </w:r>
                            <w:r w:rsidR="000F3BEF">
                              <w:t>a</w:t>
                            </w:r>
                            <w:r w:rsidR="00A5601E">
                              <w:t>ssociate</w:t>
                            </w:r>
                            <w:r w:rsidR="000F3BEF">
                              <w:t>,</w:t>
                            </w:r>
                            <w:r w:rsidR="005A55C2">
                              <w:t xml:space="preserve"> </w:t>
                            </w:r>
                            <w:r>
                              <w:t>receives commissions, volume-based payments</w:t>
                            </w:r>
                            <w:r w:rsidR="00142B39">
                              <w:t xml:space="preserve">, </w:t>
                            </w:r>
                            <w:r>
                              <w:t>gifts</w:t>
                            </w:r>
                            <w:r w:rsidR="00142B39">
                              <w:t xml:space="preserve"> or benefits</w:t>
                            </w:r>
                            <w:r>
                              <w:t xml:space="preserve"> from </w:t>
                            </w:r>
                            <w:r w:rsidRPr="005A55C2">
                              <w:rPr>
                                <w:highlight w:val="yellow"/>
                              </w:rPr>
                              <w:t>[financial services provider]</w:t>
                            </w:r>
                            <w:r w:rsidR="005A55C2">
                              <w:t>,</w:t>
                            </w:r>
                            <w:r w:rsidR="00A5601E">
                              <w:t xml:space="preserve"> </w:t>
                            </w:r>
                            <w:r>
                              <w:t>which may influence the advice we provide</w:t>
                            </w:r>
                          </w:p>
                          <w:p w14:paraId="20E331AA" w14:textId="35C56D80" w:rsidR="00DB518E" w:rsidRDefault="00DB518E" w:rsidP="000831FE">
                            <w:pPr>
                              <w:pStyle w:val="HNDocsBulletpoints"/>
                            </w:pPr>
                            <w:r>
                              <w:rPr>
                                <w:highlight w:val="yellow"/>
                              </w:rPr>
                              <w:t>[Provider of services on our behalf]</w:t>
                            </w:r>
                            <w:r>
                              <w:t xml:space="preserve"> receives commissions, volume-based payments</w:t>
                            </w:r>
                            <w:r w:rsidR="00142B39">
                              <w:t>, gifts</w:t>
                            </w:r>
                            <w:r>
                              <w:t xml:space="preserve"> or </w:t>
                            </w:r>
                            <w:r w:rsidR="00142B39">
                              <w:t xml:space="preserve">benefits </w:t>
                            </w:r>
                            <w:r>
                              <w:t xml:space="preserve">from </w:t>
                            </w:r>
                            <w:r>
                              <w:rPr>
                                <w:highlight w:val="yellow"/>
                              </w:rPr>
                              <w:t>[financial services provider]</w:t>
                            </w:r>
                            <w:r>
                              <w:t xml:space="preserve"> which may influence the advice provide</w:t>
                            </w:r>
                            <w:r w:rsidR="008E347A">
                              <w:t>d</w:t>
                            </w:r>
                          </w:p>
                          <w:p w14:paraId="46F51C7A" w14:textId="720696D9" w:rsidR="00DB518E" w:rsidRPr="00553E64" w:rsidRDefault="00DB518E" w:rsidP="000831FE">
                            <w:pPr>
                              <w:pStyle w:val="HNDocsBulletpoints"/>
                              <w:rPr>
                                <w:highlight w:val="cyan"/>
                              </w:rPr>
                            </w:pPr>
                            <w:r w:rsidRPr="00553E64">
                              <w:rPr>
                                <w:highlight w:val="cyan"/>
                              </w:rPr>
                              <w:t>We have an approved product list which limits the range of products we</w:t>
                            </w:r>
                            <w:r w:rsidR="008E347A" w:rsidRPr="00553E64">
                              <w:rPr>
                                <w:highlight w:val="cyan"/>
                              </w:rPr>
                              <w:t xml:space="preserve"> or our representatives</w:t>
                            </w:r>
                            <w:r w:rsidRPr="00553E64">
                              <w:rPr>
                                <w:highlight w:val="cyan"/>
                              </w:rPr>
                              <w:t xml:space="preserve"> can recommend when providing advice to you</w:t>
                            </w:r>
                          </w:p>
                          <w:p w14:paraId="4452465E" w14:textId="01D5EA63" w:rsidR="00DB518E" w:rsidRDefault="00DB518E" w:rsidP="000831FE">
                            <w:pPr>
                              <w:pStyle w:val="HNDocsBulletpoints"/>
                            </w:pPr>
                            <w:r>
                              <w:t xml:space="preserve">We have an </w:t>
                            </w:r>
                            <w:r w:rsidRPr="000F3BEF">
                              <w:rPr>
                                <w:highlight w:val="yellow"/>
                              </w:rPr>
                              <w:t>association/relationship</w:t>
                            </w:r>
                            <w:r>
                              <w:t xml:space="preserve"> with </w:t>
                            </w:r>
                            <w:r>
                              <w:rPr>
                                <w:highlight w:val="yellow"/>
                              </w:rPr>
                              <w:t>[financial service provider]</w:t>
                            </w:r>
                            <w:r>
                              <w:t xml:space="preserve"> which could reasonably be expected to influence the advice we provide to you</w:t>
                            </w:r>
                          </w:p>
                          <w:p w14:paraId="026257DE" w14:textId="068D8CA5" w:rsidR="00671E6F" w:rsidRPr="000831FE" w:rsidRDefault="00671E6F" w:rsidP="000831FE">
                            <w:pPr>
                              <w:pStyle w:val="HNDocsBulletpoints"/>
                              <w:rPr>
                                <w:i/>
                                <w:iCs/>
                                <w:highlight w:val="cyan"/>
                              </w:rPr>
                            </w:pPr>
                            <w:bookmarkStart w:id="12" w:name="_Hlk83115251"/>
                            <w:r w:rsidRPr="000831FE">
                              <w:rPr>
                                <w:i/>
                                <w:iCs/>
                                <w:highlight w:val="cyan"/>
                              </w:rPr>
                              <w:t>We are associated with [authorised representative], which may recommend the MDA service that we issue</w:t>
                            </w:r>
                          </w:p>
                          <w:bookmarkEnd w:id="12"/>
                          <w:p w14:paraId="591BD675" w14:textId="4A47F28E" w:rsidR="00545009" w:rsidRDefault="00545009" w:rsidP="000831FE">
                            <w:pPr>
                              <w:pStyle w:val="HNDocsBulletpoints"/>
                            </w:pPr>
                            <w:r w:rsidRPr="000F3BEF">
                              <w:rPr>
                                <w:highlight w:val="yellow"/>
                              </w:rPr>
                              <w:t>[insert any other reasons why you may not be independent, impartial or unbiased]</w:t>
                            </w:r>
                            <w:r w:rsidR="000F3BE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DD528" id="_x0000_t202" coordsize="21600,21600" o:spt="202" path="m,l,21600r21600,l21600,xe">
                <v:stroke joinstyle="miter"/>
                <v:path gradientshapeok="t" o:connecttype="rect"/>
              </v:shapetype>
              <v:shape id="Text Box 3" o:spid="_x0000_s1029" type="#_x0000_t202" style="position:absolute;margin-left:428.05pt;margin-top:17.05pt;width:479.25pt;height:156.85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">
                <v:textbox style="mso-fit-shape-to-text:t">
                  <w:txbxContent>
                    <w:p w14:paraId="003747C3" w14:textId="46B0F455" w:rsidR="00DB518E" w:rsidRDefault="00DB518E" w:rsidP="000831FE">
                      <w:pPr>
                        <w:pStyle w:val="HNDocsBodyText"/>
                      </w:pPr>
                      <w:r>
                        <w:t xml:space="preserve">## is not able to describe itself as being independent, impartial or unbiased </w:t>
                      </w:r>
                      <w:r w:rsidR="005F3C69">
                        <w:t>because</w:t>
                      </w:r>
                      <w:r>
                        <w:t>:</w:t>
                      </w:r>
                      <w:r w:rsidR="000F3BEF">
                        <w:t xml:space="preserve"> </w:t>
                      </w:r>
                      <w:r>
                        <w:rPr>
                          <w:highlight w:val="yellow"/>
                        </w:rPr>
                        <w:t>[Delete those that do not apply]</w:t>
                      </w:r>
                    </w:p>
                    <w:p w14:paraId="63C8AA6D" w14:textId="553BDAA1" w:rsidR="00DB518E" w:rsidRDefault="00DB518E" w:rsidP="000831FE">
                      <w:pPr>
                        <w:pStyle w:val="HNDocsBulletpoints"/>
                      </w:pPr>
                      <w:r>
                        <w:t>We receive commissions, volume-based payments</w:t>
                      </w:r>
                      <w:r w:rsidR="00142B39">
                        <w:t xml:space="preserve">, </w:t>
                      </w:r>
                      <w:r>
                        <w:t>gifts</w:t>
                      </w:r>
                      <w:r w:rsidR="00142B39">
                        <w:t xml:space="preserve"> or benefits</w:t>
                      </w:r>
                      <w:r>
                        <w:t xml:space="preserve"> from </w:t>
                      </w:r>
                      <w:r>
                        <w:rPr>
                          <w:highlight w:val="yellow"/>
                        </w:rPr>
                        <w:t>[financial services provider]</w:t>
                      </w:r>
                      <w:r w:rsidR="000F3BEF">
                        <w:t xml:space="preserve"> </w:t>
                      </w:r>
                      <w:r>
                        <w:t>which may influence the advice we</w:t>
                      </w:r>
                      <w:r w:rsidR="008E347A">
                        <w:t xml:space="preserve"> or our representatives</w:t>
                      </w:r>
                      <w:r>
                        <w:t xml:space="preserve"> provide</w:t>
                      </w:r>
                    </w:p>
                    <w:p w14:paraId="243F0658" w14:textId="743F26EE" w:rsidR="00DB518E" w:rsidRDefault="00DB518E" w:rsidP="0020146E">
                      <w:pPr>
                        <w:pStyle w:val="HNDocsBulletpoints"/>
                      </w:pPr>
                      <w:r>
                        <w:t>Our</w:t>
                      </w:r>
                      <w:r w:rsidR="005A55C2">
                        <w:t xml:space="preserve"> </w:t>
                      </w:r>
                      <w:r w:rsidR="000F3BEF">
                        <w:t>d</w:t>
                      </w:r>
                      <w:r w:rsidR="00A5601E">
                        <w:t>irector;</w:t>
                      </w:r>
                      <w:r w:rsidR="005A55C2">
                        <w:t xml:space="preserve"> a </w:t>
                      </w:r>
                      <w:r w:rsidR="000F3BEF">
                        <w:t>r</w:t>
                      </w:r>
                      <w:r w:rsidR="00A5601E">
                        <w:t>elated entity or a director of a related entity; or</w:t>
                      </w:r>
                      <w:r w:rsidR="005A55C2">
                        <w:t xml:space="preserve"> an </w:t>
                      </w:r>
                      <w:r w:rsidR="000F3BEF">
                        <w:t>a</w:t>
                      </w:r>
                      <w:r w:rsidR="00A5601E">
                        <w:t>ssociate</w:t>
                      </w:r>
                      <w:r w:rsidR="000F3BEF">
                        <w:t>,</w:t>
                      </w:r>
                      <w:r w:rsidR="005A55C2">
                        <w:t xml:space="preserve"> </w:t>
                      </w:r>
                      <w:r>
                        <w:t>receives commissions, volume-based payments</w:t>
                      </w:r>
                      <w:r w:rsidR="00142B39">
                        <w:t xml:space="preserve">, </w:t>
                      </w:r>
                      <w:r>
                        <w:t>gifts</w:t>
                      </w:r>
                      <w:r w:rsidR="00142B39">
                        <w:t xml:space="preserve"> or benefits</w:t>
                      </w:r>
                      <w:r>
                        <w:t xml:space="preserve"> from </w:t>
                      </w:r>
                      <w:r w:rsidRPr="005A55C2">
                        <w:rPr>
                          <w:highlight w:val="yellow"/>
                        </w:rPr>
                        <w:t>[financial services provider]</w:t>
                      </w:r>
                      <w:r w:rsidR="005A55C2">
                        <w:t>,</w:t>
                      </w:r>
                      <w:r w:rsidR="00A5601E">
                        <w:t xml:space="preserve"> </w:t>
                      </w:r>
                      <w:r>
                        <w:t>which may influence the advice we provide</w:t>
                      </w:r>
                    </w:p>
                    <w:p w14:paraId="20E331AA" w14:textId="35C56D80" w:rsidR="00DB518E" w:rsidRDefault="00DB518E" w:rsidP="000831FE">
                      <w:pPr>
                        <w:pStyle w:val="HNDocsBulletpoints"/>
                      </w:pPr>
                      <w:r>
                        <w:rPr>
                          <w:highlight w:val="yellow"/>
                        </w:rPr>
                        <w:t>[Provider of services on our behalf]</w:t>
                      </w:r>
                      <w:r>
                        <w:t xml:space="preserve"> receives commissions, volume-based payments</w:t>
                      </w:r>
                      <w:r w:rsidR="00142B39">
                        <w:t>, gifts</w:t>
                      </w:r>
                      <w:r>
                        <w:t xml:space="preserve"> or </w:t>
                      </w:r>
                      <w:r w:rsidR="00142B39">
                        <w:t xml:space="preserve">benefits </w:t>
                      </w:r>
                      <w:r>
                        <w:t xml:space="preserve">from </w:t>
                      </w:r>
                      <w:r>
                        <w:rPr>
                          <w:highlight w:val="yellow"/>
                        </w:rPr>
                        <w:t>[financial services provider]</w:t>
                      </w:r>
                      <w:r>
                        <w:t xml:space="preserve"> which may influence the advice provide</w:t>
                      </w:r>
                      <w:r w:rsidR="008E347A">
                        <w:t>d</w:t>
                      </w:r>
                    </w:p>
                    <w:p w14:paraId="46F51C7A" w14:textId="720696D9" w:rsidR="00DB518E" w:rsidRPr="00553E64" w:rsidRDefault="00DB518E" w:rsidP="000831FE">
                      <w:pPr>
                        <w:pStyle w:val="HNDocsBulletpoints"/>
                        <w:rPr>
                          <w:highlight w:val="cyan"/>
                        </w:rPr>
                      </w:pPr>
                      <w:r w:rsidRPr="00553E64">
                        <w:rPr>
                          <w:highlight w:val="cyan"/>
                        </w:rPr>
                        <w:t>We have an approved product list which limits the range of products we</w:t>
                      </w:r>
                      <w:r w:rsidR="008E347A" w:rsidRPr="00553E64">
                        <w:rPr>
                          <w:highlight w:val="cyan"/>
                        </w:rPr>
                        <w:t xml:space="preserve"> or our representatives</w:t>
                      </w:r>
                      <w:r w:rsidRPr="00553E64">
                        <w:rPr>
                          <w:highlight w:val="cyan"/>
                        </w:rPr>
                        <w:t xml:space="preserve"> can recommend when providing advice to you</w:t>
                      </w:r>
                    </w:p>
                    <w:p w14:paraId="4452465E" w14:textId="01D5EA63" w:rsidR="00DB518E" w:rsidRDefault="00DB518E" w:rsidP="000831FE">
                      <w:pPr>
                        <w:pStyle w:val="HNDocsBulletpoints"/>
                      </w:pPr>
                      <w:r>
                        <w:t xml:space="preserve">We have an </w:t>
                      </w:r>
                      <w:r w:rsidRPr="000F3BEF">
                        <w:rPr>
                          <w:highlight w:val="yellow"/>
                        </w:rPr>
                        <w:t>association/relationship</w:t>
                      </w:r>
                      <w:r>
                        <w:t xml:space="preserve"> with </w:t>
                      </w:r>
                      <w:r>
                        <w:rPr>
                          <w:highlight w:val="yellow"/>
                        </w:rPr>
                        <w:t>[financial service provider]</w:t>
                      </w:r>
                      <w:r>
                        <w:t xml:space="preserve"> which could reasonably be expected to influence the advice we provide to you</w:t>
                      </w:r>
                    </w:p>
                    <w:p w14:paraId="026257DE" w14:textId="068D8CA5" w:rsidR="00671E6F" w:rsidRPr="000831FE" w:rsidRDefault="00671E6F" w:rsidP="000831FE">
                      <w:pPr>
                        <w:pStyle w:val="HNDocsBulletpoints"/>
                        <w:rPr>
                          <w:i/>
                          <w:iCs/>
                          <w:highlight w:val="cyan"/>
                        </w:rPr>
                      </w:pPr>
                      <w:bookmarkStart w:id="13" w:name="_Hlk83115251"/>
                      <w:r w:rsidRPr="000831FE">
                        <w:rPr>
                          <w:i/>
                          <w:iCs/>
                          <w:highlight w:val="cyan"/>
                        </w:rPr>
                        <w:t>We are associated with [authorised representative], which may recommend the MDA service that we issue</w:t>
                      </w:r>
                    </w:p>
                    <w:bookmarkEnd w:id="13"/>
                    <w:p w14:paraId="591BD675" w14:textId="4A47F28E" w:rsidR="00545009" w:rsidRDefault="00545009" w:rsidP="000831FE">
                      <w:pPr>
                        <w:pStyle w:val="HNDocsBulletpoints"/>
                      </w:pPr>
                      <w:r w:rsidRPr="000F3BEF">
                        <w:rPr>
                          <w:highlight w:val="yellow"/>
                        </w:rPr>
                        <w:t>[insert any other reasons why you may not be independent, impartial or unbiased]</w:t>
                      </w:r>
                      <w:r w:rsidR="000F3BEF">
                        <w:t>.</w:t>
                      </w:r>
                    </w:p>
                  </w:txbxContent>
                </v:textbox>
                <w10:wrap type="topAndBottom" anchorx="margin"/>
              </v:shape>
            </w:pict>
          </mc:Fallback>
        </mc:AlternateContent>
      </w:r>
    </w:p>
    <w:bookmarkEnd w:id="10"/>
    <w:p w14:paraId="35FF72EC" w14:textId="77777777" w:rsidR="00DB518E" w:rsidRDefault="00DB518E" w:rsidP="00723F1C">
      <w:pPr>
        <w:pStyle w:val="HNDocsBodyText"/>
        <w:rPr>
          <w:b/>
          <w:color w:val="000000" w:themeColor="text1"/>
          <w:highlight w:val="yellow"/>
          <w:lang w:val="en-US"/>
        </w:rPr>
      </w:pPr>
    </w:p>
    <w:p w14:paraId="7CC57C13" w14:textId="4DCC72AA" w:rsidR="00723F1C" w:rsidRDefault="00723F1C" w:rsidP="00723F1C">
      <w:pPr>
        <w:pStyle w:val="HNDocsBodyText"/>
        <w:rPr>
          <w:lang w:val="en-US"/>
        </w:rPr>
      </w:pPr>
      <w:r w:rsidRPr="002A31CB">
        <w:rPr>
          <w:b/>
          <w:color w:val="000000" w:themeColor="text1"/>
          <w:highlight w:val="yellow"/>
          <w:lang w:val="en-US"/>
        </w:rPr>
        <w:t>[Delete if you do not provide personal advice]</w:t>
      </w:r>
      <w:r>
        <w:rPr>
          <w:color w:val="FF0000"/>
          <w:lang w:val="en-US"/>
        </w:rPr>
        <w:t xml:space="preserve"> </w:t>
      </w:r>
      <w:r w:rsidRPr="000D0C93">
        <w:rPr>
          <w:lang w:val="en-US"/>
        </w:rPr>
        <w:t xml:space="preserve">We may provide you with personal advice that takes into account your needs, financial situation and circumstances. </w:t>
      </w:r>
      <w:r>
        <w:rPr>
          <w:lang w:val="en-US"/>
        </w:rPr>
        <w:t xml:space="preserve"> </w:t>
      </w:r>
      <w:r w:rsidRPr="000D0C93">
        <w:rPr>
          <w:lang w:val="en-US"/>
        </w:rPr>
        <w:t>Where we provide you with personal advice</w:t>
      </w:r>
      <w:r>
        <w:rPr>
          <w:lang w:val="en-US"/>
        </w:rPr>
        <w:t>,</w:t>
      </w:r>
      <w:r w:rsidRPr="000D0C93">
        <w:rPr>
          <w:lang w:val="en-US"/>
        </w:rPr>
        <w:t xml:space="preserve"> we will provide you with a Statement of Advice (’SOA’). </w:t>
      </w:r>
      <w:r>
        <w:rPr>
          <w:lang w:val="en-US"/>
        </w:rPr>
        <w:t xml:space="preserve"> </w:t>
      </w:r>
      <w:r w:rsidRPr="000D0C93">
        <w:rPr>
          <w:lang w:val="en-US"/>
        </w:rPr>
        <w:t>The SOA outlines our advice and the basis on which the advice was given.</w:t>
      </w:r>
      <w:r>
        <w:rPr>
          <w:lang w:val="en-US"/>
        </w:rPr>
        <w:t xml:space="preserve"> </w:t>
      </w:r>
      <w:r w:rsidRPr="000D0C93">
        <w:rPr>
          <w:lang w:val="en-US"/>
        </w:rPr>
        <w:t xml:space="preserve"> It also outlines relevant information about us, our fees and charges associated with our advice.  We are only able to provide personal advice about </w:t>
      </w:r>
      <w:r>
        <w:rPr>
          <w:lang w:val="en-US"/>
        </w:rPr>
        <w:t xml:space="preserve">certain </w:t>
      </w:r>
      <w:r w:rsidRPr="00343A8B">
        <w:rPr>
          <w:lang w:val="en-US"/>
        </w:rPr>
        <w:t xml:space="preserve">products as stipulated under </w:t>
      </w:r>
      <w:r w:rsidRPr="002A31CB">
        <w:rPr>
          <w:lang w:val="en-US"/>
        </w:rPr>
        <w:t>our</w:t>
      </w:r>
      <w:r>
        <w:rPr>
          <w:lang w:val="en-US"/>
        </w:rPr>
        <w:t xml:space="preserve"> </w:t>
      </w:r>
      <w:r w:rsidRPr="00343A8B">
        <w:rPr>
          <w:lang w:val="en-US"/>
        </w:rPr>
        <w:t>Australian Financial Services Licen</w:t>
      </w:r>
      <w:r>
        <w:rPr>
          <w:lang w:val="en-US"/>
        </w:rPr>
        <w:t>s</w:t>
      </w:r>
      <w:r w:rsidRPr="00343A8B">
        <w:rPr>
          <w:lang w:val="en-US"/>
        </w:rPr>
        <w:t>e (‘AFSL’).</w:t>
      </w:r>
      <w:r>
        <w:rPr>
          <w:lang w:val="en-US"/>
        </w:rPr>
        <w:t xml:space="preserve"> </w:t>
      </w:r>
    </w:p>
    <w:p w14:paraId="3F35D2E6" w14:textId="2B0C579D" w:rsidR="00723F1C" w:rsidRDefault="00723F1C" w:rsidP="00723F1C">
      <w:pPr>
        <w:pStyle w:val="HNDocsBodyText"/>
        <w:rPr>
          <w:lang w:val="en-US"/>
        </w:rPr>
      </w:pPr>
      <w:r>
        <w:rPr>
          <w:lang w:val="en-US"/>
        </w:rPr>
        <w:t>If we provide further personal advice after providing our initial advice, we may record this in a Record of Advice, instead of an SOA.  You may request a record of the further advice that is provided to you, if you haven’t already been provided with it.  You can also contact us, using the details at the start of this FSG, within 7 years from when the advice is provided</w:t>
      </w:r>
      <w:r w:rsidR="005A55C2">
        <w:rPr>
          <w:lang w:val="en-US"/>
        </w:rPr>
        <w:t>,</w:t>
      </w:r>
      <w:r>
        <w:rPr>
          <w:lang w:val="en-US"/>
        </w:rPr>
        <w:t xml:space="preserve"> to request this record.</w:t>
      </w:r>
    </w:p>
    <w:p w14:paraId="0EE88DE9" w14:textId="77777777" w:rsidR="00723F1C" w:rsidRDefault="00723F1C" w:rsidP="00723F1C">
      <w:pPr>
        <w:pStyle w:val="HNDocsBodyText"/>
      </w:pPr>
      <w:r w:rsidRPr="00A02FCC">
        <w:rPr>
          <w:color w:val="000000" w:themeColor="text1"/>
          <w:highlight w:val="yellow"/>
          <w:lang w:val="en-US"/>
        </w:rPr>
        <w:t>[Delete if not applicable]</w:t>
      </w:r>
      <w:r w:rsidRPr="00D8695F">
        <w:rPr>
          <w:lang w:val="en-US"/>
        </w:rPr>
        <w:t xml:space="preserve"> </w:t>
      </w:r>
      <w:r w:rsidRPr="00475686">
        <w:rPr>
          <w:lang w:val="en-US"/>
        </w:rPr>
        <w:t>Occasionally</w:t>
      </w:r>
      <w:r w:rsidRPr="00455FA1">
        <w:rPr>
          <w:lang w:val="en-US"/>
        </w:rPr>
        <w:t xml:space="preserve"> we provide general advice</w:t>
      </w:r>
      <w:r>
        <w:rPr>
          <w:lang w:val="en-US"/>
        </w:rPr>
        <w:t xml:space="preserve">.  This is where we may express an opinion or recommendation influencing you in making a decision in relation to a financial product, but where we HAVE NOT considered your personal objectives, financial situation or needs.  </w:t>
      </w:r>
      <w:r>
        <w:t xml:space="preserve">If we provide you with general advice, we will provide you with a warning that the advice may not be appropriate to your needs, financial situation or objectives.  Additionally, we will provide you with an applicable Product Disclosure Statement (’PDS’) (if one is available) which you should read before making a decision that the product is right for you.  </w:t>
      </w:r>
    </w:p>
    <w:p w14:paraId="0A98DAA5" w14:textId="77777777" w:rsidR="00723F1C" w:rsidRDefault="00723F1C" w:rsidP="00723F1C">
      <w:pPr>
        <w:pStyle w:val="HNDocsBodyText"/>
      </w:pPr>
      <w:r>
        <w:t xml:space="preserve">When a financial product is recommended to you, you will be provided with a PDS issued by </w:t>
      </w:r>
      <w:r w:rsidRPr="00A02FCC">
        <w:rPr>
          <w:color w:val="000000" w:themeColor="text1"/>
          <w:highlight w:val="yellow"/>
        </w:rPr>
        <w:t>[</w:t>
      </w:r>
      <w:r>
        <w:rPr>
          <w:color w:val="000000" w:themeColor="text1"/>
          <w:highlight w:val="yellow"/>
        </w:rPr>
        <w:t>s</w:t>
      </w:r>
      <w:r w:rsidRPr="00A02FCC">
        <w:rPr>
          <w:color w:val="000000" w:themeColor="text1"/>
          <w:highlight w:val="yellow"/>
        </w:rPr>
        <w:t>elect as applicable]</w:t>
      </w:r>
      <w:r w:rsidRPr="00A02FCC">
        <w:rPr>
          <w:b/>
          <w:color w:val="000000" w:themeColor="text1"/>
          <w:highlight w:val="yellow"/>
        </w:rPr>
        <w:t xml:space="preserve"> </w:t>
      </w:r>
      <w:r w:rsidRPr="00475686">
        <w:rPr>
          <w:highlight w:val="yellow"/>
        </w:rPr>
        <w:t>the pro</w:t>
      </w:r>
      <w:r>
        <w:rPr>
          <w:highlight w:val="yellow"/>
        </w:rPr>
        <w:t>duct provider / the Licensee</w:t>
      </w:r>
      <w:r>
        <w:t>.  The PDS contains information about the product to assist you in making an informed decision about the financial product.  It will outline relevant terms, significant risks, and fees and charges associated with the product.</w:t>
      </w:r>
    </w:p>
    <w:p w14:paraId="2508ABDB" w14:textId="461196DD" w:rsidR="00723F1C" w:rsidRPr="001859BC" w:rsidRDefault="00723F1C" w:rsidP="00723F1C">
      <w:pPr>
        <w:pStyle w:val="HNDocsBodyText"/>
      </w:pPr>
      <w:r w:rsidRPr="001859BC">
        <w:t xml:space="preserve">The </w:t>
      </w:r>
      <w:r>
        <w:t>L</w:t>
      </w:r>
      <w:r w:rsidRPr="001859BC">
        <w:t xml:space="preserve">icensee has arrangements in place to maintain professional indemnity insurance. </w:t>
      </w:r>
      <w:r>
        <w:t xml:space="preserve"> </w:t>
      </w:r>
      <w:r w:rsidRPr="001859BC">
        <w:t xml:space="preserve">This insurance satisfies the requirements </w:t>
      </w:r>
      <w:r w:rsidRPr="001859BC">
        <w:rPr>
          <w:highlight w:val="yellow"/>
        </w:rPr>
        <w:t xml:space="preserve">under </w:t>
      </w:r>
      <w:r w:rsidR="005A55C2">
        <w:rPr>
          <w:highlight w:val="yellow"/>
        </w:rPr>
        <w:t>s</w:t>
      </w:r>
      <w:r w:rsidRPr="001859BC">
        <w:rPr>
          <w:highlight w:val="yellow"/>
        </w:rPr>
        <w:t>912B of the</w:t>
      </w:r>
      <w:r>
        <w:rPr>
          <w:highlight w:val="yellow"/>
        </w:rPr>
        <w:t xml:space="preserve"> Act</w:t>
      </w:r>
      <w:r w:rsidRPr="00BB4C12">
        <w:rPr>
          <w:color w:val="000000"/>
          <w:highlight w:val="yellow"/>
        </w:rPr>
        <w:t>.</w:t>
      </w:r>
      <w:r>
        <w:rPr>
          <w:color w:val="000000"/>
        </w:rPr>
        <w:t xml:space="preserve"> </w:t>
      </w:r>
      <w:r w:rsidRPr="00643240">
        <w:rPr>
          <w:color w:val="000000"/>
          <w:highlight w:val="yellow"/>
        </w:rPr>
        <w:t>[E</w:t>
      </w:r>
      <w:r w:rsidRPr="00BB4C12">
        <w:rPr>
          <w:color w:val="000000"/>
          <w:highlight w:val="yellow"/>
        </w:rPr>
        <w:t>nsure that your Professional Indemnity Insurance arrangements comply with ASIC’s RG 12</w:t>
      </w:r>
      <w:r w:rsidRPr="00643240">
        <w:rPr>
          <w:color w:val="000000"/>
          <w:highlight w:val="yellow"/>
        </w:rPr>
        <w:t>6.]</w:t>
      </w:r>
    </w:p>
    <w:p w14:paraId="58B5C813" w14:textId="77777777" w:rsidR="00723F1C" w:rsidRPr="001859BC" w:rsidRDefault="00723F1C" w:rsidP="00723F1C">
      <w:pPr>
        <w:pStyle w:val="HNDocsBodyText"/>
      </w:pPr>
      <w:r w:rsidRPr="00213B1F">
        <w:rPr>
          <w:color w:val="000000"/>
        </w:rPr>
        <w:t xml:space="preserve">Please retain this FSG for your reference and any future dealings with </w:t>
      </w:r>
      <w:r>
        <w:t>us</w:t>
      </w:r>
      <w:r w:rsidRPr="00213B1F">
        <w:rPr>
          <w:color w:val="000000"/>
        </w:rPr>
        <w:t xml:space="preserve">.  We may also add documents at a later date which will </w:t>
      </w:r>
      <w:r>
        <w:rPr>
          <w:color w:val="000000"/>
        </w:rPr>
        <w:t xml:space="preserve">also </w:t>
      </w:r>
      <w:r w:rsidRPr="00213B1F">
        <w:rPr>
          <w:color w:val="000000"/>
        </w:rPr>
        <w:t xml:space="preserve">form part of this FSG, and </w:t>
      </w:r>
      <w:r>
        <w:rPr>
          <w:color w:val="000000"/>
        </w:rPr>
        <w:t xml:space="preserve">these </w:t>
      </w:r>
      <w:r w:rsidRPr="00213B1F">
        <w:rPr>
          <w:color w:val="000000"/>
        </w:rPr>
        <w:t xml:space="preserve">should be read together with </w:t>
      </w:r>
      <w:r>
        <w:rPr>
          <w:color w:val="000000"/>
        </w:rPr>
        <w:t>the FSG</w:t>
      </w:r>
      <w:r w:rsidRPr="00213B1F">
        <w:rPr>
          <w:color w:val="000000"/>
        </w:rPr>
        <w:t xml:space="preserve">. </w:t>
      </w:r>
      <w:r>
        <w:rPr>
          <w:color w:val="000000"/>
        </w:rPr>
        <w:t xml:space="preserve"> </w:t>
      </w:r>
      <w:r w:rsidRPr="00213B1F">
        <w:rPr>
          <w:color w:val="000000"/>
        </w:rPr>
        <w:t>The</w:t>
      </w:r>
      <w:r>
        <w:rPr>
          <w:color w:val="000000"/>
        </w:rPr>
        <w:t xml:space="preserve">se documents </w:t>
      </w:r>
      <w:r w:rsidRPr="00213B1F">
        <w:rPr>
          <w:color w:val="000000"/>
        </w:rPr>
        <w:t xml:space="preserve">will include the word </w:t>
      </w:r>
      <w:r>
        <w:rPr>
          <w:color w:val="000000"/>
        </w:rPr>
        <w:t>‘</w:t>
      </w:r>
      <w:r w:rsidRPr="00213B1F">
        <w:rPr>
          <w:color w:val="000000"/>
        </w:rPr>
        <w:t>FSG</w:t>
      </w:r>
      <w:r>
        <w:rPr>
          <w:color w:val="000000"/>
        </w:rPr>
        <w:t>’</w:t>
      </w:r>
      <w:r w:rsidRPr="00213B1F">
        <w:rPr>
          <w:color w:val="000000"/>
        </w:rPr>
        <w:t xml:space="preserve"> in the heading.</w:t>
      </w:r>
    </w:p>
    <w:p w14:paraId="6D85D5F9" w14:textId="77777777" w:rsidR="000831FE" w:rsidRDefault="000831FE">
      <w:pPr>
        <w:rPr>
          <w:rFonts w:ascii="Arial Bold" w:hAnsi="Arial Bold"/>
          <w:b/>
          <w:bCs/>
          <w:kern w:val="32"/>
          <w:sz w:val="28"/>
          <w:szCs w:val="32"/>
          <w:lang w:eastAsia="en-US"/>
        </w:rPr>
      </w:pPr>
      <w:bookmarkStart w:id="13" w:name="_Toc119402003"/>
      <w:bookmarkStart w:id="14" w:name="_Toc212618672"/>
      <w:r>
        <w:br w:type="page"/>
      </w:r>
    </w:p>
    <w:p w14:paraId="50C960BC" w14:textId="075F4925" w:rsidR="00723F1C" w:rsidRPr="00A02FCC" w:rsidRDefault="00723F1C" w:rsidP="00723F1C">
      <w:pPr>
        <w:pStyle w:val="HNDocsHeading2"/>
        <w:rPr>
          <w:i/>
        </w:rPr>
      </w:pPr>
      <w:r w:rsidRPr="002D674E">
        <w:t xml:space="preserve">Who will be providing the financial </w:t>
      </w:r>
      <w:r w:rsidRPr="002A31CB">
        <w:t>services to you?</w:t>
      </w:r>
      <w:bookmarkEnd w:id="13"/>
      <w:bookmarkEnd w:id="14"/>
    </w:p>
    <w:p w14:paraId="5890F259" w14:textId="77777777" w:rsidR="00723F1C" w:rsidRPr="00A02FCC" w:rsidRDefault="00723F1C" w:rsidP="00723F1C">
      <w:pPr>
        <w:pStyle w:val="HNDocsHeading3"/>
        <w:rPr>
          <w:b/>
        </w:rPr>
      </w:pPr>
      <w:bookmarkStart w:id="15" w:name="_Toc119402004"/>
      <w:r w:rsidRPr="002A31CB">
        <w:t>The Licensee</w:t>
      </w:r>
    </w:p>
    <w:p w14:paraId="4BAE294E" w14:textId="77777777" w:rsidR="00723F1C" w:rsidRDefault="00723F1C" w:rsidP="00723F1C">
      <w:pPr>
        <w:pStyle w:val="HNDocsBodyText"/>
      </w:pPr>
      <w:r w:rsidRPr="00F54BFE">
        <w:t xml:space="preserve">The </w:t>
      </w:r>
      <w:r>
        <w:t>L</w:t>
      </w:r>
      <w:r w:rsidRPr="00F54BFE">
        <w:t xml:space="preserve">icensee </w:t>
      </w:r>
      <w:r>
        <w:t xml:space="preserve">is the authorising licensee for the financial services provided to you, and is responsible for those services and is the providing entity.  </w:t>
      </w:r>
    </w:p>
    <w:p w14:paraId="73738188" w14:textId="77777777" w:rsidR="00723F1C" w:rsidRDefault="00723F1C" w:rsidP="00723F1C">
      <w:pPr>
        <w:pStyle w:val="HNDocsBodyText"/>
      </w:pPr>
      <w:r w:rsidRPr="00F54BFE">
        <w:t xml:space="preserve">The </w:t>
      </w:r>
      <w:r>
        <w:t>L</w:t>
      </w:r>
      <w:r w:rsidRPr="00F54BFE">
        <w:t xml:space="preserve">icensee </w:t>
      </w:r>
      <w:r>
        <w:t>authorises, and is also responsible for, the content and distribution of this FSG.</w:t>
      </w:r>
    </w:p>
    <w:p w14:paraId="313D2356" w14:textId="77777777" w:rsidR="00723F1C" w:rsidRDefault="00723F1C" w:rsidP="00723F1C">
      <w:pPr>
        <w:pStyle w:val="HNDocsBodyText"/>
      </w:pPr>
      <w:r>
        <w:t>The Licensee’s contact details are as follows:</w:t>
      </w:r>
    </w:p>
    <w:p w14:paraId="1181677F" w14:textId="77777777" w:rsidR="00723F1C" w:rsidRPr="005C52A5" w:rsidRDefault="00723F1C" w:rsidP="00723F1C">
      <w:pPr>
        <w:pStyle w:val="HNDocsBodyText"/>
        <w:rPr>
          <w:b/>
          <w:highlight w:val="yellow"/>
        </w:rPr>
      </w:pPr>
      <w:r w:rsidRPr="005C52A5">
        <w:rPr>
          <w:b/>
        </w:rPr>
        <w:t xml:space="preserve">Licensee </w:t>
      </w:r>
      <w:r>
        <w:rPr>
          <w:b/>
        </w:rPr>
        <w:t>name:</w:t>
      </w:r>
      <w:r>
        <w:rPr>
          <w:b/>
        </w:rPr>
        <w:tab/>
      </w:r>
      <w:r w:rsidRPr="00E337D6">
        <w:rPr>
          <w:highlight w:val="yellow"/>
        </w:rPr>
        <w:t>[insert full AFSL name</w:t>
      </w:r>
      <w:r w:rsidRPr="00E337D6">
        <w:t>]</w:t>
      </w:r>
    </w:p>
    <w:p w14:paraId="2C6C3107" w14:textId="77777777" w:rsidR="00723F1C" w:rsidRDefault="00723F1C" w:rsidP="00723F1C">
      <w:pPr>
        <w:pStyle w:val="HNDocsBodyText"/>
      </w:pPr>
      <w:r>
        <w:rPr>
          <w:b/>
        </w:rPr>
        <w:t>AFSL n</w:t>
      </w:r>
      <w:r w:rsidRPr="00194680">
        <w:rPr>
          <w:b/>
        </w:rPr>
        <w:t>umber:</w:t>
      </w:r>
      <w:r>
        <w:t xml:space="preserve"> </w:t>
      </w:r>
      <w:r>
        <w:tab/>
      </w:r>
      <w:r>
        <w:tab/>
      </w:r>
      <w:r w:rsidRPr="00643240">
        <w:rPr>
          <w:highlight w:val="yellow"/>
        </w:rPr>
        <w:t>[insert AFSL number here]</w:t>
      </w:r>
    </w:p>
    <w:p w14:paraId="4DA1B4BB" w14:textId="77777777" w:rsidR="00723F1C" w:rsidRDefault="00723F1C" w:rsidP="00723F1C">
      <w:pPr>
        <w:pStyle w:val="HNDocsBodyText"/>
      </w:pPr>
      <w:r w:rsidRPr="00194680">
        <w:rPr>
          <w:b/>
        </w:rPr>
        <w:t>Address:</w:t>
      </w:r>
      <w:r>
        <w:t xml:space="preserve"> </w:t>
      </w:r>
      <w:r>
        <w:tab/>
      </w:r>
      <w:r>
        <w:tab/>
      </w:r>
      <w:r w:rsidRPr="00643240">
        <w:rPr>
          <w:highlight w:val="yellow"/>
        </w:rPr>
        <w:t>[i</w:t>
      </w:r>
      <w:r>
        <w:rPr>
          <w:highlight w:val="yellow"/>
        </w:rPr>
        <w:t>nsert licensee addres</w:t>
      </w:r>
      <w:r w:rsidRPr="00643240">
        <w:rPr>
          <w:highlight w:val="yellow"/>
        </w:rPr>
        <w:t>s]</w:t>
      </w:r>
    </w:p>
    <w:p w14:paraId="4F9F45F2" w14:textId="77777777" w:rsidR="00723F1C" w:rsidRPr="00455FA1" w:rsidRDefault="00723F1C" w:rsidP="00723F1C">
      <w:pPr>
        <w:pStyle w:val="HNDocsBodyText"/>
        <w:rPr>
          <w:b/>
        </w:rPr>
      </w:pPr>
      <w:r w:rsidRPr="00194680">
        <w:rPr>
          <w:b/>
          <w:lang w:val="en-US"/>
        </w:rPr>
        <w:t>Website:</w:t>
      </w:r>
      <w:r>
        <w:rPr>
          <w:lang w:val="en-US"/>
        </w:rPr>
        <w:t xml:space="preserve"> </w:t>
      </w:r>
      <w:r>
        <w:rPr>
          <w:lang w:val="en-US"/>
        </w:rPr>
        <w:tab/>
      </w:r>
      <w:r>
        <w:rPr>
          <w:lang w:val="en-US"/>
        </w:rPr>
        <w:tab/>
      </w:r>
      <w:r w:rsidRPr="00B47A1F">
        <w:rPr>
          <w:highlight w:val="yellow"/>
        </w:rPr>
        <w:t xml:space="preserve">[insert </w:t>
      </w:r>
      <w:r>
        <w:rPr>
          <w:highlight w:val="yellow"/>
        </w:rPr>
        <w:t xml:space="preserve">licensee </w:t>
      </w:r>
      <w:r w:rsidRPr="00B47A1F">
        <w:rPr>
          <w:highlight w:val="yellow"/>
        </w:rPr>
        <w:t>website</w:t>
      </w:r>
      <w:r>
        <w:rPr>
          <w:highlight w:val="yellow"/>
        </w:rPr>
        <w:t>, if applicable</w:t>
      </w:r>
      <w:r w:rsidRPr="00B47A1F">
        <w:rPr>
          <w:highlight w:val="yellow"/>
        </w:rPr>
        <w:t>]</w:t>
      </w:r>
      <w:r>
        <w:rPr>
          <w:lang w:val="en-US"/>
        </w:rPr>
        <w:t xml:space="preserve"> </w:t>
      </w:r>
      <w:r>
        <w:rPr>
          <w:lang w:val="en-US"/>
        </w:rPr>
        <w:tab/>
      </w:r>
    </w:p>
    <w:p w14:paraId="2C4B30DA" w14:textId="77777777" w:rsidR="00723F1C" w:rsidRDefault="00723F1C" w:rsidP="00723F1C">
      <w:pPr>
        <w:pStyle w:val="HNDocsBodyText"/>
      </w:pPr>
      <w:r w:rsidRPr="001A0F12">
        <w:rPr>
          <w:b/>
        </w:rPr>
        <w:t>Phone:</w:t>
      </w:r>
      <w:r w:rsidRPr="001A0F12">
        <w:t xml:space="preserve"> </w:t>
      </w:r>
      <w:r>
        <w:tab/>
      </w:r>
      <w:r>
        <w:tab/>
      </w:r>
      <w:r w:rsidRPr="00643240">
        <w:rPr>
          <w:highlight w:val="yellow"/>
        </w:rPr>
        <w:t>[i</w:t>
      </w:r>
      <w:r w:rsidRPr="001A0F12">
        <w:rPr>
          <w:highlight w:val="yellow"/>
        </w:rPr>
        <w:t xml:space="preserve">nsert </w:t>
      </w:r>
      <w:r>
        <w:rPr>
          <w:highlight w:val="yellow"/>
        </w:rPr>
        <w:t>licensee phone number</w:t>
      </w:r>
      <w:r w:rsidRPr="001A0F12">
        <w:rPr>
          <w:highlight w:val="yellow"/>
        </w:rPr>
        <w:t>]</w:t>
      </w:r>
    </w:p>
    <w:p w14:paraId="5B9DF02A" w14:textId="77777777" w:rsidR="00723F1C" w:rsidRDefault="00723F1C" w:rsidP="00723F1C">
      <w:pPr>
        <w:pStyle w:val="HNDocsBodyText"/>
      </w:pPr>
      <w:r>
        <w:rPr>
          <w:b/>
          <w:lang w:val="en-US"/>
        </w:rPr>
        <w:t xml:space="preserve">Email: </w:t>
      </w:r>
      <w:r>
        <w:rPr>
          <w:b/>
          <w:lang w:val="en-US"/>
        </w:rPr>
        <w:tab/>
      </w:r>
      <w:r>
        <w:rPr>
          <w:b/>
          <w:lang w:val="en-US"/>
        </w:rPr>
        <w:tab/>
      </w:r>
      <w:r>
        <w:rPr>
          <w:b/>
          <w:lang w:val="en-US"/>
        </w:rPr>
        <w:tab/>
      </w:r>
      <w:r w:rsidRPr="00B47A1F">
        <w:rPr>
          <w:highlight w:val="yellow"/>
        </w:rPr>
        <w:t xml:space="preserve">[insert </w:t>
      </w:r>
      <w:r>
        <w:rPr>
          <w:highlight w:val="yellow"/>
        </w:rPr>
        <w:t>licensee email address, if applicable</w:t>
      </w:r>
      <w:r w:rsidRPr="00B47A1F">
        <w:rPr>
          <w:highlight w:val="yellow"/>
        </w:rPr>
        <w:t>]</w:t>
      </w:r>
    </w:p>
    <w:p w14:paraId="55135459" w14:textId="77777777" w:rsidR="00723F1C" w:rsidRPr="00A02FCC" w:rsidRDefault="00723F1C" w:rsidP="00723F1C">
      <w:pPr>
        <w:pStyle w:val="HNDocsBodyText"/>
        <w:rPr>
          <w:color w:val="000000" w:themeColor="text1"/>
        </w:rPr>
      </w:pPr>
      <w:r w:rsidRPr="00A02FCC">
        <w:rPr>
          <w:color w:val="000000" w:themeColor="text1"/>
          <w:highlight w:val="yellow"/>
        </w:rPr>
        <w:t>[Delete the paragraphs below that do not apply]</w:t>
      </w:r>
    </w:p>
    <w:p w14:paraId="6197B30C" w14:textId="77777777" w:rsidR="00723F1C" w:rsidRDefault="00723F1C" w:rsidP="00723F1C">
      <w:pPr>
        <w:pStyle w:val="HNDocsBodyText"/>
      </w:pPr>
      <w:r w:rsidRPr="004C5200">
        <w:rPr>
          <w:highlight w:val="yellow"/>
        </w:rPr>
        <w:t xml:space="preserve">[You may be provided with services by the </w:t>
      </w:r>
      <w:r>
        <w:rPr>
          <w:highlight w:val="yellow"/>
        </w:rPr>
        <w:t>L</w:t>
      </w:r>
      <w:r w:rsidRPr="004C5200">
        <w:rPr>
          <w:highlight w:val="yellow"/>
        </w:rPr>
        <w:t>icensee through its employees, or directors (or the employees of a related body corpora</w:t>
      </w:r>
      <w:r w:rsidRPr="00643240">
        <w:rPr>
          <w:highlight w:val="yellow"/>
        </w:rPr>
        <w:t>te).]</w:t>
      </w:r>
    </w:p>
    <w:p w14:paraId="13BCAF99" w14:textId="77777777" w:rsidR="00723F1C" w:rsidRDefault="00723F1C" w:rsidP="00723F1C">
      <w:pPr>
        <w:pStyle w:val="HNDocsBodyText"/>
      </w:pPr>
      <w:r w:rsidRPr="00643240">
        <w:rPr>
          <w:highlight w:val="yellow"/>
        </w:rPr>
        <w:t>[[Insert the names of representatives] are directors/employees [select the correct one] of the Licensee.]</w:t>
      </w:r>
    </w:p>
    <w:p w14:paraId="48A94B10" w14:textId="77777777" w:rsidR="00723F1C" w:rsidRDefault="00723F1C" w:rsidP="00723F1C">
      <w:pPr>
        <w:pStyle w:val="HNDocsBodyText"/>
      </w:pPr>
      <w:r w:rsidRPr="00A02FCC">
        <w:rPr>
          <w:color w:val="000000" w:themeColor="text1"/>
          <w:highlight w:val="yellow"/>
        </w:rPr>
        <w:t xml:space="preserve">[Delete if not applicable] </w:t>
      </w:r>
      <w:r w:rsidRPr="002738D4">
        <w:rPr>
          <w:highlight w:val="yellow"/>
        </w:rPr>
        <w:t>We are a participant on [insert name of licensed market or CS facility].</w:t>
      </w:r>
    </w:p>
    <w:bookmarkEnd w:id="15"/>
    <w:p w14:paraId="21B16D6C" w14:textId="77777777" w:rsidR="00723F1C" w:rsidRPr="0062592B" w:rsidRDefault="00723F1C" w:rsidP="00723F1C">
      <w:pPr>
        <w:pStyle w:val="HNDocsBodyText"/>
      </w:pPr>
      <w:r w:rsidRPr="00A02FCC">
        <w:t xml:space="preserve">The </w:t>
      </w:r>
      <w:r>
        <w:t>L</w:t>
      </w:r>
      <w:r w:rsidRPr="00A02FCC">
        <w:t>icensee</w:t>
      </w:r>
      <w:r>
        <w:t xml:space="preserve"> acts on your behalf </w:t>
      </w:r>
      <w:r w:rsidRPr="002630D9">
        <w:rPr>
          <w:highlight w:val="yellow"/>
        </w:rPr>
        <w:t>[or on behalf of [insert nam</w:t>
      </w:r>
      <w:r w:rsidRPr="00643240">
        <w:rPr>
          <w:highlight w:val="yellow"/>
        </w:rPr>
        <w:t>e]]</w:t>
      </w:r>
      <w:r>
        <w:t xml:space="preserve"> when we provide financial services to you.</w:t>
      </w:r>
    </w:p>
    <w:p w14:paraId="2EBF7C16" w14:textId="77777777" w:rsidR="00723F1C" w:rsidRPr="002D674E" w:rsidRDefault="00723F1C" w:rsidP="00723F1C">
      <w:pPr>
        <w:pStyle w:val="HNDocsHeading2"/>
        <w:rPr>
          <w:sz w:val="16"/>
        </w:rPr>
      </w:pPr>
      <w:bookmarkStart w:id="16" w:name="_Toc119402006"/>
      <w:bookmarkStart w:id="17" w:name="_Toc212618674"/>
      <w:r w:rsidRPr="002D674E">
        <w:t>What services and products are we authorised to provide to you?</w:t>
      </w:r>
      <w:bookmarkEnd w:id="16"/>
      <w:bookmarkEnd w:id="17"/>
      <w:r w:rsidRPr="002D674E">
        <w:rPr>
          <w:sz w:val="16"/>
        </w:rPr>
        <w:t xml:space="preserve"> </w:t>
      </w:r>
    </w:p>
    <w:p w14:paraId="03082625" w14:textId="77777777" w:rsidR="00723F1C" w:rsidRDefault="00723F1C" w:rsidP="00723F1C">
      <w:pPr>
        <w:pStyle w:val="HNDocsBodyText"/>
      </w:pPr>
      <w:r w:rsidRPr="00603B5D">
        <w:t xml:space="preserve">We are authorised to </w:t>
      </w:r>
      <w:r>
        <w:t>provide financial product advice and deal in the following financial products:</w:t>
      </w:r>
    </w:p>
    <w:p w14:paraId="6AAC1E39" w14:textId="77777777" w:rsidR="00723F1C" w:rsidRPr="000A2592" w:rsidRDefault="00723F1C" w:rsidP="00723F1C">
      <w:pPr>
        <w:pStyle w:val="HNDocsBulletpoints"/>
        <w:rPr>
          <w:highlight w:val="yellow"/>
        </w:rPr>
      </w:pPr>
      <w:r>
        <w:rPr>
          <w:highlight w:val="yellow"/>
        </w:rPr>
        <w:t>[insert details]</w:t>
      </w:r>
    </w:p>
    <w:p w14:paraId="6810672B" w14:textId="77777777" w:rsidR="00723F1C" w:rsidRPr="000A2592" w:rsidRDefault="00723F1C" w:rsidP="00723F1C">
      <w:pPr>
        <w:pStyle w:val="HNDocsBulletpoints"/>
        <w:rPr>
          <w:highlight w:val="yellow"/>
        </w:rPr>
      </w:pPr>
      <w:r>
        <w:rPr>
          <w:highlight w:val="yellow"/>
        </w:rPr>
        <w:t>[insert details]</w:t>
      </w:r>
    </w:p>
    <w:p w14:paraId="5852D421" w14:textId="77777777" w:rsidR="00723F1C" w:rsidRPr="000A2592" w:rsidRDefault="00723F1C" w:rsidP="00723F1C">
      <w:pPr>
        <w:pStyle w:val="HNDocsBulletpoints"/>
        <w:spacing w:after="240"/>
        <w:ind w:left="714" w:hanging="357"/>
        <w:rPr>
          <w:highlight w:val="yellow"/>
        </w:rPr>
      </w:pPr>
      <w:r w:rsidRPr="000A2592">
        <w:rPr>
          <w:highlight w:val="yellow"/>
        </w:rPr>
        <w:t>Etc</w:t>
      </w:r>
      <w:r>
        <w:rPr>
          <w:highlight w:val="yellow"/>
        </w:rPr>
        <w:t>.</w:t>
      </w:r>
    </w:p>
    <w:p w14:paraId="7CA0EB53" w14:textId="77777777" w:rsidR="00723F1C" w:rsidRDefault="00723F1C" w:rsidP="00723F1C">
      <w:pPr>
        <w:pStyle w:val="HNDocsBodyText"/>
      </w:pPr>
      <w:r>
        <w:t xml:space="preserve">We are authorised to provide these services and products to </w:t>
      </w:r>
      <w:r w:rsidRPr="00643240">
        <w:rPr>
          <w:highlight w:val="yellow"/>
        </w:rPr>
        <w:t xml:space="preserve">[both </w:t>
      </w:r>
      <w:r w:rsidRPr="004C5200">
        <w:rPr>
          <w:highlight w:val="yellow"/>
        </w:rPr>
        <w:t>retail and wholesale client</w:t>
      </w:r>
      <w:r w:rsidRPr="00643240">
        <w:rPr>
          <w:highlight w:val="yellow"/>
        </w:rPr>
        <w:t>s]</w:t>
      </w:r>
      <w:r w:rsidRPr="00643240">
        <w:t>.</w:t>
      </w:r>
    </w:p>
    <w:p w14:paraId="4470BA3A" w14:textId="77777777" w:rsidR="00723F1C" w:rsidRDefault="00723F1C" w:rsidP="00723F1C">
      <w:pPr>
        <w:pStyle w:val="HNDocsBodyText"/>
      </w:pPr>
      <w:r w:rsidRPr="00A02FCC">
        <w:rPr>
          <w:color w:val="000000" w:themeColor="text1"/>
          <w:highlight w:val="yellow"/>
        </w:rPr>
        <w:t>[Delete this paragraph if not applicable</w:t>
      </w:r>
      <w:r w:rsidRPr="00643240">
        <w:rPr>
          <w:bCs w:val="0"/>
          <w:color w:val="000000" w:themeColor="text1"/>
          <w:highlight w:val="yellow"/>
        </w:rPr>
        <w:t>]</w:t>
      </w:r>
      <w:r w:rsidRPr="00A02FCC">
        <w:rPr>
          <w:b/>
          <w:color w:val="000000" w:themeColor="text1"/>
        </w:rPr>
        <w:t xml:space="preserve"> </w:t>
      </w:r>
      <w:r w:rsidRPr="00603B5D">
        <w:t xml:space="preserve">We are </w:t>
      </w:r>
      <w:r>
        <w:t>only</w:t>
      </w:r>
      <w:r w:rsidRPr="00603B5D">
        <w:t xml:space="preserve"> authorised to provide </w:t>
      </w:r>
      <w:r>
        <w:t>’</w:t>
      </w:r>
      <w:r w:rsidRPr="00603B5D">
        <w:t>class of product advice</w:t>
      </w:r>
      <w:r>
        <w:t>’</w:t>
      </w:r>
      <w:r w:rsidRPr="00603B5D">
        <w:t xml:space="preserve"> </w:t>
      </w:r>
      <w:r>
        <w:t>on</w:t>
      </w:r>
      <w:r w:rsidRPr="00603B5D">
        <w:t xml:space="preserve"> </w:t>
      </w:r>
      <w:r w:rsidRPr="00E337D6">
        <w:rPr>
          <w:highlight w:val="yellow"/>
        </w:rPr>
        <w:t>[</w:t>
      </w:r>
      <w:r>
        <w:rPr>
          <w:highlight w:val="yellow"/>
        </w:rPr>
        <w:t>insert</w:t>
      </w:r>
      <w:r w:rsidRPr="00E337D6">
        <w:rPr>
          <w:highlight w:val="yellow"/>
        </w:rPr>
        <w:t xml:space="preserve"> class of product authorisations:]</w:t>
      </w:r>
      <w:r w:rsidRPr="00603B5D">
        <w:t xml:space="preserve">. </w:t>
      </w:r>
      <w:r>
        <w:t xml:space="preserve"> </w:t>
      </w:r>
      <w:r w:rsidRPr="00603B5D">
        <w:t>Class of product advice means that we can recommend broad classes of products to you, but we cannot recommend specific, named products within the class.</w:t>
      </w:r>
      <w:r>
        <w:t xml:space="preserve"> </w:t>
      </w:r>
    </w:p>
    <w:p w14:paraId="33A50C47" w14:textId="77777777" w:rsidR="00723F1C" w:rsidRDefault="00723F1C" w:rsidP="00723F1C">
      <w:pPr>
        <w:pStyle w:val="HNDocsBodyText"/>
      </w:pPr>
      <w:r>
        <w:t xml:space="preserve">There is an important difference between ‘general advice’ and ‘personal advice’.  If we provide you with ‘general advice’ it means that we have not considered any of your individual objectives, financial situation and needs.  </w:t>
      </w:r>
    </w:p>
    <w:p w14:paraId="5DD4C506" w14:textId="77777777" w:rsidR="00723F1C" w:rsidRDefault="00723F1C" w:rsidP="00723F1C">
      <w:pPr>
        <w:pStyle w:val="HNDocsBodyText"/>
      </w:pPr>
      <w:r>
        <w:t>If we provide you with ‘personal advice’ we will consider your individual objectives, financial situation and needs when making our recommendation to you.</w:t>
      </w:r>
    </w:p>
    <w:p w14:paraId="46977117" w14:textId="77777777" w:rsidR="00723F1C" w:rsidRDefault="00723F1C" w:rsidP="00723F1C">
      <w:pPr>
        <w:pStyle w:val="HNDocsBodyText"/>
      </w:pPr>
      <w:r w:rsidRPr="00A02FCC">
        <w:rPr>
          <w:color w:val="000000" w:themeColor="text1"/>
          <w:highlight w:val="yellow"/>
        </w:rPr>
        <w:t>[Delete this paragraph if not applicable]</w:t>
      </w:r>
      <w:r w:rsidRPr="002630D9">
        <w:rPr>
          <w:b/>
          <w:color w:val="FF0000"/>
        </w:rPr>
        <w:t xml:space="preserve"> </w:t>
      </w:r>
      <w:r>
        <w:t xml:space="preserve">At times we may provide financial services under a binding authority (“binder”) such as </w:t>
      </w:r>
      <w:r w:rsidRPr="00643240">
        <w:rPr>
          <w:highlight w:val="yellow"/>
        </w:rPr>
        <w:t>[identify the services provided under the binder]</w:t>
      </w:r>
      <w:r>
        <w:t xml:space="preserve">.  Where we provide financial services under a binder, we will inform you.  Operating under a binder means that we act as the agent of the insurer, not you. </w:t>
      </w:r>
    </w:p>
    <w:p w14:paraId="3ADA4723" w14:textId="77777777" w:rsidR="00723F1C" w:rsidRPr="00547C5B" w:rsidRDefault="00723F1C" w:rsidP="00723F1C">
      <w:pPr>
        <w:pStyle w:val="HNDocsBodyText"/>
      </w:pPr>
      <w:r w:rsidRPr="00547C5B">
        <w:rPr>
          <w:highlight w:val="yellow"/>
        </w:rPr>
        <w:t>We will only provide services to you, w</w:t>
      </w:r>
      <w:r>
        <w:rPr>
          <w:highlight w:val="yellow"/>
        </w:rPr>
        <w:t>ith your p</w:t>
      </w:r>
      <w:r w:rsidRPr="00547C5B">
        <w:rPr>
          <w:highlight w:val="yellow"/>
        </w:rPr>
        <w:t>rior</w:t>
      </w:r>
      <w:r>
        <w:rPr>
          <w:highlight w:val="yellow"/>
        </w:rPr>
        <w:t>, informed</w:t>
      </w:r>
      <w:r w:rsidRPr="00547C5B">
        <w:rPr>
          <w:highlight w:val="yellow"/>
        </w:rPr>
        <w:t xml:space="preserve"> consent.  If you do not understand any of the information in this Financial Services Guide, </w:t>
      </w:r>
      <w:r>
        <w:rPr>
          <w:highlight w:val="yellow"/>
        </w:rPr>
        <w:t xml:space="preserve">or have any other questions relating to the terms on which we will be acting, </w:t>
      </w:r>
      <w:r w:rsidRPr="00547C5B">
        <w:rPr>
          <w:highlight w:val="yellow"/>
        </w:rPr>
        <w:t>please contact us.</w:t>
      </w:r>
    </w:p>
    <w:p w14:paraId="62E7E400" w14:textId="2BD583EA" w:rsidR="00723F1C" w:rsidRPr="0062592B" w:rsidRDefault="00723F1C" w:rsidP="00723F1C">
      <w:pPr>
        <w:pStyle w:val="HNDocsBodyText"/>
      </w:pPr>
      <w:r>
        <w:t xml:space="preserve">In providing our services, other financial matters may arise, however, we are not authorised to assist with any financial products and services except those explained above.  You should seek specific advice from the appropriate professionals on other matters relevant to you. </w:t>
      </w:r>
    </w:p>
    <w:p w14:paraId="7522CF7B" w14:textId="77777777" w:rsidR="00723F1C" w:rsidRPr="00A02FCC" w:rsidRDefault="00723F1C" w:rsidP="00723F1C">
      <w:pPr>
        <w:pStyle w:val="HNDocsHeading2"/>
        <w:rPr>
          <w:i/>
        </w:rPr>
      </w:pPr>
      <w:bookmarkStart w:id="18" w:name="_Toc119402007"/>
      <w:bookmarkStart w:id="19" w:name="_Toc212618675"/>
      <w:r w:rsidRPr="002D674E">
        <w:t xml:space="preserve">What fees and commissions are payable to </w:t>
      </w:r>
      <w:r w:rsidRPr="002A31CB">
        <w:t>us?</w:t>
      </w:r>
      <w:bookmarkEnd w:id="18"/>
      <w:bookmarkEnd w:id="19"/>
      <w:r w:rsidRPr="002A31CB">
        <w:t xml:space="preserve"> </w:t>
      </w:r>
    </w:p>
    <w:p w14:paraId="537E88B6" w14:textId="77777777" w:rsidR="00723F1C" w:rsidRPr="0062592B" w:rsidRDefault="00723F1C" w:rsidP="00723F1C">
      <w:pPr>
        <w:pStyle w:val="HNDocsBodyText"/>
        <w:rPr>
          <w:color w:val="000000"/>
          <w:highlight w:val="yellow"/>
        </w:rPr>
      </w:pPr>
      <w:r w:rsidRPr="0062592B">
        <w:rPr>
          <w:highlight w:val="yellow"/>
        </w:rPr>
        <w:t>[We don’t receive commissions</w:t>
      </w:r>
      <w:r>
        <w:rPr>
          <w:highlight w:val="yellow"/>
        </w:rPr>
        <w:t>.</w:t>
      </w:r>
      <w:r w:rsidRPr="00E255B0">
        <w:rPr>
          <w:highlight w:val="yellow"/>
        </w:rPr>
        <w:t>]</w:t>
      </w:r>
      <w:r w:rsidRPr="0062592B">
        <w:t xml:space="preserve"> Fees for providing you with our services are received by</w:t>
      </w:r>
      <w:r>
        <w:t xml:space="preserve"> </w:t>
      </w:r>
      <w:r w:rsidRPr="0062592B">
        <w:rPr>
          <w:highlight w:val="yellow"/>
        </w:rPr>
        <w:t xml:space="preserve">the </w:t>
      </w:r>
      <w:r>
        <w:rPr>
          <w:highlight w:val="yellow"/>
        </w:rPr>
        <w:t>L</w:t>
      </w:r>
      <w:r w:rsidRPr="0062592B">
        <w:rPr>
          <w:highlight w:val="yellow"/>
        </w:rPr>
        <w:t>icensee</w:t>
      </w:r>
      <w:r>
        <w:t>.</w:t>
      </w:r>
      <w:r w:rsidRPr="0062592B">
        <w:t xml:space="preserve"> </w:t>
      </w:r>
    </w:p>
    <w:p w14:paraId="384F7EAA" w14:textId="2AA82BB5" w:rsidR="00723F1C" w:rsidRPr="00A02FCC" w:rsidRDefault="00723F1C" w:rsidP="00723F1C">
      <w:pPr>
        <w:pStyle w:val="HNDocsBodyText"/>
        <w:rPr>
          <w:color w:val="000000" w:themeColor="text1"/>
          <w:highlight w:val="yellow"/>
        </w:rPr>
      </w:pPr>
      <w:r>
        <w:t xml:space="preserve">All fees described in this FSG include GST.  </w:t>
      </w:r>
      <w:r w:rsidRPr="00E255B0">
        <w:rPr>
          <w:highlight w:val="yellow"/>
        </w:rPr>
        <w:t>[</w:t>
      </w:r>
      <w:r w:rsidRPr="00E255B0">
        <w:rPr>
          <w:color w:val="000000" w:themeColor="text1"/>
          <w:highlight w:val="yellow"/>
        </w:rPr>
        <w:t>I</w:t>
      </w:r>
      <w:r w:rsidRPr="00A02FCC">
        <w:rPr>
          <w:color w:val="000000" w:themeColor="text1"/>
          <w:highlight w:val="yellow"/>
        </w:rPr>
        <w:t xml:space="preserve">nsert a description here, such as a schedule of your rates.  E.g. Our hourly rates range from $100 per hour to $500 per hour, depending on who provides services to you OR Our hourly rates vary depending on the level of expertise of your </w:t>
      </w:r>
      <w:r>
        <w:rPr>
          <w:color w:val="000000" w:themeColor="text1"/>
          <w:highlight w:val="yellow"/>
        </w:rPr>
        <w:t>representative</w:t>
      </w:r>
      <w:r w:rsidRPr="00D8695F">
        <w:rPr>
          <w:color w:val="000000" w:themeColor="text1"/>
          <w:highlight w:val="yellow"/>
        </w:rPr>
        <w:t>.</w:t>
      </w:r>
      <w:r w:rsidRPr="00A02FCC">
        <w:rPr>
          <w:color w:val="000000" w:themeColor="text1"/>
          <w:highlight w:val="yellow"/>
        </w:rPr>
        <w:t xml:space="preserve">  Tailor this section if you charge percentage</w:t>
      </w:r>
      <w:r w:rsidR="005A55C2">
        <w:rPr>
          <w:color w:val="000000" w:themeColor="text1"/>
          <w:highlight w:val="yellow"/>
        </w:rPr>
        <w:t>-</w:t>
      </w:r>
      <w:r w:rsidRPr="00A02FCC">
        <w:rPr>
          <w:color w:val="000000" w:themeColor="text1"/>
          <w:highlight w:val="yellow"/>
        </w:rPr>
        <w:t>based fees, and delete the statement “we don’t receive commissions” if you do this.]</w:t>
      </w:r>
    </w:p>
    <w:p w14:paraId="5CBB23B6" w14:textId="77777777" w:rsidR="00723F1C" w:rsidRPr="00E75D0A" w:rsidRDefault="00723F1C" w:rsidP="00723F1C">
      <w:pPr>
        <w:pStyle w:val="HNDocsBodyText"/>
        <w:rPr>
          <w:i/>
        </w:rPr>
      </w:pPr>
      <w:r w:rsidRPr="00E75D0A">
        <w:rPr>
          <w:i/>
          <w:highlight w:val="yellow"/>
        </w:rPr>
        <w:t>[</w:t>
      </w:r>
      <w:r>
        <w:rPr>
          <w:i/>
          <w:highlight w:val="yellow"/>
        </w:rPr>
        <w:t>T</w:t>
      </w:r>
      <w:r w:rsidRPr="00E75D0A">
        <w:rPr>
          <w:i/>
          <w:highlight w:val="yellow"/>
        </w:rPr>
        <w:t>he following are provided by way of examples</w:t>
      </w:r>
      <w:r>
        <w:rPr>
          <w:i/>
          <w:highlight w:val="yellow"/>
        </w:rPr>
        <w:t>.</w:t>
      </w:r>
      <w:r w:rsidRPr="00E255B0">
        <w:rPr>
          <w:i/>
          <w:highlight w:val="yellow"/>
        </w:rPr>
        <w:t>]</w:t>
      </w:r>
    </w:p>
    <w:p w14:paraId="1255E2CC" w14:textId="77777777" w:rsidR="00723F1C" w:rsidRPr="002D674E" w:rsidRDefault="00723F1C" w:rsidP="00723F1C">
      <w:pPr>
        <w:pStyle w:val="HNDocsHeading3"/>
        <w:rPr>
          <w:highlight w:val="yellow"/>
        </w:rPr>
      </w:pPr>
      <w:r w:rsidRPr="002D674E">
        <w:rPr>
          <w:highlight w:val="yellow"/>
        </w:rPr>
        <w:t>Service fees</w:t>
      </w:r>
    </w:p>
    <w:p w14:paraId="03EA723F" w14:textId="77777777" w:rsidR="00723F1C" w:rsidRPr="00C2504C" w:rsidRDefault="00723F1C" w:rsidP="00723F1C">
      <w:pPr>
        <w:pStyle w:val="HNDocsBodyText"/>
      </w:pPr>
      <w:r w:rsidRPr="00C2504C">
        <w:t xml:space="preserve">We will discuss and agree our fee structure with you before we provide you with services. </w:t>
      </w:r>
      <w:r>
        <w:t xml:space="preserve"> </w:t>
      </w:r>
      <w:r w:rsidRPr="00C2504C">
        <w:t xml:space="preserve">The types of fees you can be charged are listed below. </w:t>
      </w:r>
      <w:r>
        <w:t xml:space="preserve"> </w:t>
      </w:r>
      <w:r w:rsidRPr="00C2504C">
        <w:t>You may be charged a combination, or part of, any of these fees.</w:t>
      </w:r>
    </w:p>
    <w:p w14:paraId="542D8EF6" w14:textId="77777777" w:rsidR="00723F1C" w:rsidRPr="002D674E" w:rsidRDefault="00723F1C" w:rsidP="00723F1C">
      <w:pPr>
        <w:pStyle w:val="HNDocsHeading3"/>
        <w:rPr>
          <w:highlight w:val="yellow"/>
        </w:rPr>
      </w:pPr>
      <w:r w:rsidRPr="002D674E">
        <w:rPr>
          <w:highlight w:val="yellow"/>
        </w:rPr>
        <w:t>Fees for advice</w:t>
      </w:r>
    </w:p>
    <w:p w14:paraId="72D2566B" w14:textId="77777777" w:rsidR="00723F1C" w:rsidRPr="00C2504C" w:rsidRDefault="00723F1C" w:rsidP="00723F1C">
      <w:pPr>
        <w:pStyle w:val="HNDocsBodyText"/>
      </w:pPr>
      <w:r w:rsidRPr="00C2504C">
        <w:t xml:space="preserve">We may charge fees for the preparation, presentation and implementation of our advice. </w:t>
      </w:r>
      <w:r>
        <w:t xml:space="preserve"> </w:t>
      </w:r>
      <w:r w:rsidRPr="00C2504C">
        <w:t>These fees will be based on your individual circumstances, the complexity involved in your situation</w:t>
      </w:r>
      <w:r>
        <w:t>,</w:t>
      </w:r>
      <w:r w:rsidRPr="00C2504C">
        <w:t xml:space="preserve"> and the time it takes to prepare personal financial advice for you. </w:t>
      </w:r>
      <w:r>
        <w:t xml:space="preserve"> </w:t>
      </w:r>
      <w:r w:rsidRPr="00C2504C">
        <w:t xml:space="preserve">We will discuss these fees with you and gain your agreement to the fees before we provide you with advice.  </w:t>
      </w:r>
      <w:r w:rsidRPr="00C2504C">
        <w:rPr>
          <w:color w:val="000000"/>
        </w:rPr>
        <w:t>E.g. Our hourly rates range from $100 per hour to $500 per hour, depending on who provides services to you</w:t>
      </w:r>
      <w:r w:rsidRPr="00C2504C">
        <w:t xml:space="preserve"> </w:t>
      </w:r>
      <w:r w:rsidRPr="00C2504C">
        <w:rPr>
          <w:color w:val="000000"/>
        </w:rPr>
        <w:t xml:space="preserve">OR Our hourly rates vary depending on the level of expertise of your adviser.  </w:t>
      </w:r>
    </w:p>
    <w:p w14:paraId="0A4A4C06" w14:textId="77777777" w:rsidR="00723F1C" w:rsidRPr="002D674E" w:rsidRDefault="00723F1C" w:rsidP="00723F1C">
      <w:pPr>
        <w:pStyle w:val="HNDocsHeading3"/>
        <w:rPr>
          <w:highlight w:val="yellow"/>
        </w:rPr>
      </w:pPr>
      <w:r w:rsidRPr="002D674E">
        <w:rPr>
          <w:highlight w:val="yellow"/>
        </w:rPr>
        <w:t>Ongoing advice fees</w:t>
      </w:r>
    </w:p>
    <w:p w14:paraId="5F532D1D" w14:textId="77777777" w:rsidR="00723F1C" w:rsidRPr="00C2504C" w:rsidRDefault="00723F1C" w:rsidP="00723F1C">
      <w:pPr>
        <w:pStyle w:val="HNDocsBodyText"/>
      </w:pPr>
      <w:r w:rsidRPr="00C2504C">
        <w:t xml:space="preserve">We may charge a fee to provide ongoing portfolio reviews and/or for the provision of ongoing services. </w:t>
      </w:r>
      <w:r>
        <w:t xml:space="preserve"> </w:t>
      </w:r>
      <w:r w:rsidRPr="00C2504C">
        <w:t>This fee will be agreed with you and is either a set amount or an amount based on the amount of funds under our advice, and/or the time involved in reviewing your portfolio and circumstances.</w:t>
      </w:r>
    </w:p>
    <w:p w14:paraId="14F68E73" w14:textId="77777777" w:rsidR="00723F1C" w:rsidRPr="002D674E" w:rsidRDefault="00723F1C" w:rsidP="00723F1C">
      <w:pPr>
        <w:pStyle w:val="HNDocsHeading3"/>
      </w:pPr>
      <w:r w:rsidRPr="002D674E">
        <w:rPr>
          <w:highlight w:val="yellow"/>
        </w:rPr>
        <w:t>Commissions</w:t>
      </w:r>
    </w:p>
    <w:p w14:paraId="51C38E3E" w14:textId="77777777" w:rsidR="00723F1C" w:rsidRPr="00C2504C" w:rsidRDefault="00723F1C" w:rsidP="00723F1C">
      <w:pPr>
        <w:pStyle w:val="HNDocsBodyText"/>
      </w:pPr>
      <w:r w:rsidRPr="00C2504C">
        <w:t xml:space="preserve">If you take out a financial product through us, </w:t>
      </w:r>
      <w:r w:rsidRPr="00C2504C">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E255B0">
        <w:rPr>
          <w:highlight w:val="yellow"/>
        </w:rPr>
        <w:t>]</w:t>
      </w:r>
      <w:r w:rsidRPr="00C2504C">
        <w:t xml:space="preserve"> may receive payments in the form of initial commissions and/or ongoing commissions from the financial product providers. </w:t>
      </w:r>
      <w:r>
        <w:t xml:space="preserve"> </w:t>
      </w:r>
      <w:r w:rsidRPr="00C2504C">
        <w:t xml:space="preserve">These commissions are included in the fees, premiums and interest rate (in the case of margin loans) you pay for the product. </w:t>
      </w:r>
      <w:r>
        <w:t xml:space="preserve"> </w:t>
      </w:r>
      <w:r w:rsidRPr="00C2504C">
        <w:t xml:space="preserve">They are not an additional cost to you. </w:t>
      </w:r>
      <w:r>
        <w:t xml:space="preserve"> </w:t>
      </w:r>
      <w:r w:rsidRPr="00C2504C">
        <w:t>We may agree to rebate some or all of these.</w:t>
      </w:r>
    </w:p>
    <w:p w14:paraId="5634D0C4" w14:textId="77777777" w:rsidR="00723F1C" w:rsidRDefault="00723F1C" w:rsidP="00723F1C">
      <w:pPr>
        <w:pStyle w:val="HNDocsBodyText"/>
      </w:pPr>
      <w:r w:rsidRPr="00C2504C">
        <w:t>The commission payable for different classes of financial products include the following:</w:t>
      </w:r>
    </w:p>
    <w:p w14:paraId="4339CCCA" w14:textId="77777777" w:rsidR="00723F1C" w:rsidRPr="00D31907" w:rsidRDefault="00723F1C" w:rsidP="00723F1C">
      <w:pPr>
        <w:pStyle w:val="HNDocsHeading3"/>
        <w:rPr>
          <w:highlight w:val="yellow"/>
        </w:rPr>
      </w:pPr>
      <w:r w:rsidRPr="00D31907">
        <w:rPr>
          <w:highlight w:val="yellow"/>
        </w:rPr>
        <w:t xml:space="preserve">Examples of </w:t>
      </w:r>
      <w:r>
        <w:rPr>
          <w:highlight w:val="yellow"/>
        </w:rPr>
        <w:t>commissions</w:t>
      </w:r>
      <w:r w:rsidRPr="00D31907">
        <w:rPr>
          <w:highlight w:val="yellow"/>
        </w:rPr>
        <w:t xml:space="preserve"> we may charge</w:t>
      </w:r>
    </w:p>
    <w:p w14:paraId="1B723634" w14:textId="01A8C184" w:rsidR="00723F1C" w:rsidRPr="008D1508" w:rsidRDefault="00723F1C" w:rsidP="00723F1C">
      <w:pPr>
        <w:pStyle w:val="HNDocsHeading4"/>
      </w:pPr>
      <w:r w:rsidRPr="008D1508">
        <w:t xml:space="preserve">Life </w:t>
      </w:r>
      <w:r w:rsidR="000831FE">
        <w:t>i</w:t>
      </w:r>
      <w:r w:rsidRPr="008D1508">
        <w:t xml:space="preserve">nsurance </w:t>
      </w:r>
      <w:r w:rsidR="000831FE">
        <w:t>p</w:t>
      </w:r>
      <w:r w:rsidRPr="008D1508">
        <w:t>roducts</w:t>
      </w:r>
    </w:p>
    <w:p w14:paraId="0796340C" w14:textId="77777777" w:rsidR="00723F1C" w:rsidRPr="005E2001" w:rsidRDefault="00723F1C" w:rsidP="00723F1C">
      <w:pPr>
        <w:pStyle w:val="HNDocsBodyText"/>
      </w:pPr>
      <w:r w:rsidRPr="005E2001">
        <w:t xml:space="preserve">Initial and ongoing commissions from insurance providers may be received by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5E2001">
        <w:t>. These commissions are</w:t>
      </w:r>
      <w:r>
        <w:t xml:space="preserve"> </w:t>
      </w:r>
      <w:r w:rsidRPr="005E2001">
        <w:t xml:space="preserve">paid to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5E2001">
        <w:t xml:space="preserve"> by the company that issues the product that</w:t>
      </w:r>
      <w:r>
        <w:t xml:space="preserve"> we</w:t>
      </w:r>
      <w:r w:rsidRPr="005E2001">
        <w:t xml:space="preserve"> recommend to you and they</w:t>
      </w:r>
      <w:r>
        <w:t xml:space="preserve"> </w:t>
      </w:r>
      <w:r w:rsidRPr="005E2001">
        <w:t xml:space="preserve">are included in what you pay for the product. </w:t>
      </w:r>
      <w:r>
        <w:t xml:space="preserve"> </w:t>
      </w:r>
      <w:r w:rsidRPr="005E2001">
        <w:t>The commissions vary and are based on the policy cost, which is the</w:t>
      </w:r>
      <w:r>
        <w:t xml:space="preserve"> </w:t>
      </w:r>
      <w:r w:rsidRPr="005E2001">
        <w:t>sum of the premiums you pay and may include other fees related to the product.</w:t>
      </w:r>
    </w:p>
    <w:p w14:paraId="28576AF4" w14:textId="77777777" w:rsidR="00723F1C" w:rsidRDefault="00723F1C" w:rsidP="00723F1C">
      <w:pPr>
        <w:pStyle w:val="HNDocsBodyText"/>
      </w:pPr>
      <w:r w:rsidRPr="005E2001">
        <w:t xml:space="preserve">The initial commission is paid in the first year by the product issuer to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5E2001">
        <w:t xml:space="preserve">. </w:t>
      </w:r>
      <w:r>
        <w:t xml:space="preserve"> </w:t>
      </w:r>
      <w:r w:rsidRPr="005E2001">
        <w:t>Ongoing commissions are</w:t>
      </w:r>
      <w:r>
        <w:t xml:space="preserve"> </w:t>
      </w:r>
      <w:r w:rsidRPr="005E2001">
        <w:t xml:space="preserve">payments paid by product issuers to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010192">
        <w:rPr>
          <w:color w:val="FF0000"/>
        </w:rPr>
        <w:t xml:space="preserve"> </w:t>
      </w:r>
      <w:r w:rsidRPr="005E2001">
        <w:t>in the years after the first year.</w:t>
      </w:r>
    </w:p>
    <w:p w14:paraId="3CAEEE21" w14:textId="77777777" w:rsidR="00723F1C" w:rsidRDefault="00723F1C" w:rsidP="00723F1C">
      <w:pPr>
        <w:pStyle w:val="HNDocsBodyText"/>
      </w:pPr>
      <w:r w:rsidRPr="005E2001">
        <w:t xml:space="preserve">If you initiate an increase to your cover,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5E2001">
        <w:t xml:space="preserve"> may receive </w:t>
      </w:r>
      <w:r>
        <w:t xml:space="preserve">an </w:t>
      </w:r>
      <w:r w:rsidRPr="005E2001">
        <w:t>initial</w:t>
      </w:r>
      <w:r>
        <w:t xml:space="preserve"> commission</w:t>
      </w:r>
      <w:r w:rsidRPr="005E2001">
        <w:t xml:space="preserve"> and ongoing commissions on the increase to your policy cost. </w:t>
      </w:r>
      <w:r>
        <w:t xml:space="preserve"> </w:t>
      </w:r>
      <w:r w:rsidRPr="005E2001">
        <w:t>The ongoing commission on a client</w:t>
      </w:r>
      <w:r>
        <w:t>-</w:t>
      </w:r>
      <w:r w:rsidRPr="005E2001">
        <w:t>initiated increase is only paid in respect of the</w:t>
      </w:r>
      <w:r>
        <w:t xml:space="preserve"> </w:t>
      </w:r>
      <w:r w:rsidRPr="005E2001">
        <w:t>period that starts from the first anniversary of the increase.</w:t>
      </w:r>
      <w:r>
        <w:t xml:space="preserve"> </w:t>
      </w:r>
    </w:p>
    <w:p w14:paraId="1DF23983" w14:textId="77777777" w:rsidR="00723F1C" w:rsidRDefault="00723F1C" w:rsidP="00723F1C">
      <w:pPr>
        <w:pStyle w:val="HNDocsBodyText"/>
      </w:pPr>
      <w:r w:rsidRPr="005E2001">
        <w:t xml:space="preserve">If the initial commission is equal to the ongoing commissions (as a percentage of your policy cost),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5E2001">
        <w:t xml:space="preserve"> may</w:t>
      </w:r>
      <w:r>
        <w:t xml:space="preserve"> </w:t>
      </w:r>
      <w:r w:rsidRPr="005E2001">
        <w:t xml:space="preserve">receive up to </w:t>
      </w:r>
      <w:r w:rsidRPr="007D2A76">
        <w:rPr>
          <w:highlight w:val="yellow"/>
        </w:rPr>
        <w:t>XX.X</w:t>
      </w:r>
      <w:r w:rsidRPr="005E2001">
        <w:t xml:space="preserve">% (excl. GST) of your annual policy cost. </w:t>
      </w:r>
      <w:r>
        <w:t xml:space="preserve"> </w:t>
      </w:r>
      <w:r w:rsidRPr="005E2001">
        <w:t>If the initial commission</w:t>
      </w:r>
      <w:r>
        <w:t xml:space="preserve"> </w:t>
      </w:r>
      <w:r w:rsidRPr="005E2001">
        <w:t>is higher than the ongoing</w:t>
      </w:r>
      <w:r>
        <w:t xml:space="preserve"> </w:t>
      </w:r>
      <w:r w:rsidRPr="005E2001">
        <w:t xml:space="preserve">commissions, the maximum commission that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5E2001">
        <w:t xml:space="preserve"> may receive is set out in the table below</w:t>
      </w:r>
      <w:r>
        <w:t>:</w:t>
      </w:r>
    </w:p>
    <w:tbl>
      <w:tblPr>
        <w:tblStyle w:val="TableGrid"/>
        <w:tblW w:w="9810"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040"/>
        <w:gridCol w:w="2250"/>
        <w:gridCol w:w="2520"/>
      </w:tblGrid>
      <w:tr w:rsidR="00723F1C" w:rsidRPr="00E255B0" w14:paraId="3060B68F" w14:textId="77777777" w:rsidTr="00994DAE">
        <w:trPr>
          <w:trHeight w:val="158"/>
        </w:trPr>
        <w:tc>
          <w:tcPr>
            <w:tcW w:w="5040" w:type="dxa"/>
            <w:shd w:val="clear" w:color="auto" w:fill="C4E0EA"/>
            <w:vAlign w:val="center"/>
          </w:tcPr>
          <w:p w14:paraId="7095220A" w14:textId="77777777" w:rsidR="00723F1C" w:rsidRPr="00E255B0" w:rsidRDefault="00723F1C" w:rsidP="00575BC5">
            <w:pPr>
              <w:pStyle w:val="HNDocsBodyText"/>
              <w:rPr>
                <w:b/>
                <w:bCs w:val="0"/>
              </w:rPr>
            </w:pPr>
            <w:r w:rsidRPr="00E255B0">
              <w:rPr>
                <w:b/>
                <w:bCs w:val="0"/>
              </w:rPr>
              <w:t>Date a new product is issued</w:t>
            </w:r>
          </w:p>
        </w:tc>
        <w:tc>
          <w:tcPr>
            <w:tcW w:w="2250" w:type="dxa"/>
            <w:shd w:val="clear" w:color="auto" w:fill="C4E0EA"/>
            <w:vAlign w:val="center"/>
          </w:tcPr>
          <w:p w14:paraId="2447D677" w14:textId="77777777" w:rsidR="00723F1C" w:rsidRPr="00E255B0" w:rsidRDefault="00723F1C" w:rsidP="00575BC5">
            <w:pPr>
              <w:pStyle w:val="HNDocsBodyText"/>
              <w:jc w:val="center"/>
              <w:rPr>
                <w:b/>
                <w:bCs w:val="0"/>
              </w:rPr>
            </w:pPr>
            <w:r w:rsidRPr="00E255B0">
              <w:rPr>
                <w:b/>
                <w:bCs w:val="0"/>
              </w:rPr>
              <w:t>Initial commission (% of annual policy cost or increase excl. GST)</w:t>
            </w:r>
          </w:p>
        </w:tc>
        <w:tc>
          <w:tcPr>
            <w:tcW w:w="2520" w:type="dxa"/>
            <w:shd w:val="clear" w:color="auto" w:fill="C4E0EA"/>
            <w:vAlign w:val="center"/>
          </w:tcPr>
          <w:p w14:paraId="72FB5E61" w14:textId="77777777" w:rsidR="00723F1C" w:rsidRPr="00E255B0" w:rsidRDefault="00723F1C" w:rsidP="00575BC5">
            <w:pPr>
              <w:pStyle w:val="HNDocsBodyText"/>
              <w:jc w:val="center"/>
              <w:rPr>
                <w:b/>
                <w:bCs w:val="0"/>
              </w:rPr>
            </w:pPr>
            <w:r w:rsidRPr="00E255B0">
              <w:rPr>
                <w:b/>
                <w:bCs w:val="0"/>
              </w:rPr>
              <w:t>Ongoing commission p</w:t>
            </w:r>
            <w:r>
              <w:rPr>
                <w:b/>
                <w:bCs w:val="0"/>
              </w:rPr>
              <w:t>.</w:t>
            </w:r>
            <w:r w:rsidRPr="00E255B0">
              <w:rPr>
                <w:b/>
                <w:bCs w:val="0"/>
              </w:rPr>
              <w:t>a</w:t>
            </w:r>
            <w:r>
              <w:rPr>
                <w:b/>
                <w:bCs w:val="0"/>
              </w:rPr>
              <w:t>.</w:t>
            </w:r>
            <w:r w:rsidRPr="00E255B0">
              <w:rPr>
                <w:b/>
                <w:bCs w:val="0"/>
              </w:rPr>
              <w:t xml:space="preserve"> (% of annual policy cost or increase excl. GST)</w:t>
            </w:r>
          </w:p>
        </w:tc>
      </w:tr>
      <w:tr w:rsidR="00723F1C" w14:paraId="40C28D6A" w14:textId="77777777" w:rsidTr="00575BC5">
        <w:trPr>
          <w:trHeight w:val="77"/>
        </w:trPr>
        <w:tc>
          <w:tcPr>
            <w:tcW w:w="5040" w:type="dxa"/>
            <w:vAlign w:val="center"/>
          </w:tcPr>
          <w:p w14:paraId="09486797" w14:textId="77777777" w:rsidR="00723F1C" w:rsidRPr="00010192" w:rsidRDefault="00723F1C" w:rsidP="00575BC5">
            <w:pPr>
              <w:pStyle w:val="HNDocsBodyText"/>
            </w:pPr>
            <w:r w:rsidRPr="00010192">
              <w:t>Before 1 January 2018 or before 1 April 2018 when the application was received prior to 1 January 2018</w:t>
            </w:r>
          </w:p>
        </w:tc>
        <w:tc>
          <w:tcPr>
            <w:tcW w:w="2250" w:type="dxa"/>
            <w:shd w:val="clear" w:color="auto" w:fill="FFFF00"/>
            <w:vAlign w:val="center"/>
          </w:tcPr>
          <w:p w14:paraId="39BAC4F4" w14:textId="77777777" w:rsidR="00723F1C" w:rsidRPr="00F87CCA" w:rsidRDefault="00723F1C" w:rsidP="00575BC5">
            <w:pPr>
              <w:pStyle w:val="HNDocsBodyText"/>
              <w:jc w:val="center"/>
              <w:rPr>
                <w:highlight w:val="yellow"/>
              </w:rPr>
            </w:pPr>
            <w:r w:rsidRPr="00F87CCA">
              <w:rPr>
                <w:highlight w:val="yellow"/>
              </w:rPr>
              <w:t>0 - 140%</w:t>
            </w:r>
          </w:p>
        </w:tc>
        <w:tc>
          <w:tcPr>
            <w:tcW w:w="2520" w:type="dxa"/>
            <w:shd w:val="clear" w:color="auto" w:fill="FFFF00"/>
            <w:vAlign w:val="center"/>
          </w:tcPr>
          <w:p w14:paraId="4D2287DA" w14:textId="77777777" w:rsidR="00723F1C" w:rsidRPr="00F87CCA" w:rsidRDefault="00723F1C" w:rsidP="00575BC5">
            <w:pPr>
              <w:pStyle w:val="HNDocsBodyText"/>
              <w:jc w:val="center"/>
              <w:rPr>
                <w:highlight w:val="yellow"/>
              </w:rPr>
            </w:pPr>
            <w:r w:rsidRPr="00F87CCA">
              <w:rPr>
                <w:highlight w:val="yellow"/>
              </w:rPr>
              <w:t>0 - 38.5%</w:t>
            </w:r>
          </w:p>
        </w:tc>
      </w:tr>
      <w:tr w:rsidR="00723F1C" w14:paraId="3CC22A22" w14:textId="77777777" w:rsidTr="00575BC5">
        <w:trPr>
          <w:trHeight w:val="77"/>
        </w:trPr>
        <w:tc>
          <w:tcPr>
            <w:tcW w:w="5040" w:type="dxa"/>
            <w:vAlign w:val="center"/>
          </w:tcPr>
          <w:p w14:paraId="02B7DF79" w14:textId="1A8C6E0E" w:rsidR="00723F1C" w:rsidRPr="00010192" w:rsidRDefault="00723F1C" w:rsidP="00575BC5">
            <w:pPr>
              <w:pStyle w:val="HNDocsBodyText"/>
            </w:pPr>
            <w:r w:rsidRPr="00010192">
              <w:t xml:space="preserve">1 January 2018 </w:t>
            </w:r>
            <w:r w:rsidR="00E85F9D">
              <w:t>–</w:t>
            </w:r>
            <w:r w:rsidRPr="00010192">
              <w:t xml:space="preserve"> 31 December 2018*</w:t>
            </w:r>
          </w:p>
        </w:tc>
        <w:tc>
          <w:tcPr>
            <w:tcW w:w="2250" w:type="dxa"/>
            <w:shd w:val="clear" w:color="auto" w:fill="FFFF00"/>
            <w:vAlign w:val="center"/>
          </w:tcPr>
          <w:p w14:paraId="6304CEC4" w14:textId="77777777" w:rsidR="00723F1C" w:rsidRPr="00F87CCA" w:rsidRDefault="00723F1C" w:rsidP="00575BC5">
            <w:pPr>
              <w:pStyle w:val="HNDocsBodyText"/>
              <w:jc w:val="center"/>
              <w:rPr>
                <w:highlight w:val="yellow"/>
              </w:rPr>
            </w:pPr>
            <w:r w:rsidRPr="00F87CCA">
              <w:rPr>
                <w:highlight w:val="yellow"/>
              </w:rPr>
              <w:t>0 - 80%</w:t>
            </w:r>
          </w:p>
        </w:tc>
        <w:tc>
          <w:tcPr>
            <w:tcW w:w="2520" w:type="dxa"/>
            <w:shd w:val="clear" w:color="auto" w:fill="FFFF00"/>
            <w:vAlign w:val="center"/>
          </w:tcPr>
          <w:p w14:paraId="4A7D1CAE" w14:textId="77777777" w:rsidR="00723F1C" w:rsidRPr="00F87CCA" w:rsidRDefault="00723F1C" w:rsidP="00575BC5">
            <w:pPr>
              <w:pStyle w:val="HNDocsBodyText"/>
              <w:jc w:val="center"/>
              <w:rPr>
                <w:highlight w:val="yellow"/>
              </w:rPr>
            </w:pPr>
            <w:r w:rsidRPr="00F87CCA">
              <w:rPr>
                <w:highlight w:val="yellow"/>
              </w:rPr>
              <w:t>0 - 20%</w:t>
            </w:r>
          </w:p>
        </w:tc>
      </w:tr>
      <w:tr w:rsidR="00723F1C" w14:paraId="1A41AD64" w14:textId="77777777" w:rsidTr="00575BC5">
        <w:tc>
          <w:tcPr>
            <w:tcW w:w="5040" w:type="dxa"/>
            <w:vAlign w:val="center"/>
          </w:tcPr>
          <w:p w14:paraId="7FD73BE8" w14:textId="53919EC4" w:rsidR="00723F1C" w:rsidRPr="00010192" w:rsidRDefault="00723F1C" w:rsidP="00575BC5">
            <w:pPr>
              <w:pStyle w:val="HNDocsBodyText"/>
            </w:pPr>
            <w:r w:rsidRPr="00010192">
              <w:t xml:space="preserve">1 January 2019 </w:t>
            </w:r>
            <w:r w:rsidR="00E85F9D">
              <w:t>–</w:t>
            </w:r>
            <w:r w:rsidRPr="00010192">
              <w:t xml:space="preserve"> 31 December 2019*</w:t>
            </w:r>
          </w:p>
        </w:tc>
        <w:tc>
          <w:tcPr>
            <w:tcW w:w="2250" w:type="dxa"/>
            <w:shd w:val="clear" w:color="auto" w:fill="FFFF00"/>
            <w:vAlign w:val="center"/>
          </w:tcPr>
          <w:p w14:paraId="7F222026" w14:textId="77777777" w:rsidR="00723F1C" w:rsidRPr="00F87CCA" w:rsidRDefault="00723F1C" w:rsidP="00575BC5">
            <w:pPr>
              <w:pStyle w:val="HNDocsBodyText"/>
              <w:jc w:val="center"/>
              <w:rPr>
                <w:highlight w:val="yellow"/>
              </w:rPr>
            </w:pPr>
            <w:r w:rsidRPr="00F87CCA">
              <w:rPr>
                <w:highlight w:val="yellow"/>
              </w:rPr>
              <w:t>0 - 70%</w:t>
            </w:r>
          </w:p>
        </w:tc>
        <w:tc>
          <w:tcPr>
            <w:tcW w:w="2520" w:type="dxa"/>
            <w:shd w:val="clear" w:color="auto" w:fill="FFFF00"/>
            <w:vAlign w:val="center"/>
          </w:tcPr>
          <w:p w14:paraId="5B384F29" w14:textId="77777777" w:rsidR="00723F1C" w:rsidRPr="00F87CCA" w:rsidRDefault="00723F1C" w:rsidP="00575BC5">
            <w:pPr>
              <w:pStyle w:val="HNDocsBodyText"/>
              <w:jc w:val="center"/>
              <w:rPr>
                <w:highlight w:val="yellow"/>
              </w:rPr>
            </w:pPr>
            <w:r w:rsidRPr="00F87CCA">
              <w:rPr>
                <w:highlight w:val="yellow"/>
              </w:rPr>
              <w:t>0 - 20%</w:t>
            </w:r>
          </w:p>
        </w:tc>
      </w:tr>
      <w:tr w:rsidR="00723F1C" w14:paraId="338841C8" w14:textId="77777777" w:rsidTr="00575BC5">
        <w:tc>
          <w:tcPr>
            <w:tcW w:w="5040" w:type="dxa"/>
            <w:vAlign w:val="center"/>
          </w:tcPr>
          <w:p w14:paraId="64A59278" w14:textId="77777777" w:rsidR="00723F1C" w:rsidRPr="00010192" w:rsidRDefault="00723F1C" w:rsidP="00575BC5">
            <w:pPr>
              <w:pStyle w:val="HNDocsBodyText"/>
            </w:pPr>
            <w:r w:rsidRPr="00010192">
              <w:t>From 1 January 2020*</w:t>
            </w:r>
          </w:p>
        </w:tc>
        <w:tc>
          <w:tcPr>
            <w:tcW w:w="2250" w:type="dxa"/>
            <w:shd w:val="clear" w:color="auto" w:fill="FFFF00"/>
            <w:vAlign w:val="center"/>
          </w:tcPr>
          <w:p w14:paraId="3EF0E7D3" w14:textId="77777777" w:rsidR="00723F1C" w:rsidRPr="00F87CCA" w:rsidRDefault="00723F1C" w:rsidP="00575BC5">
            <w:pPr>
              <w:pStyle w:val="HNDocsBodyText"/>
              <w:jc w:val="center"/>
              <w:rPr>
                <w:highlight w:val="yellow"/>
              </w:rPr>
            </w:pPr>
            <w:r w:rsidRPr="00F87CCA">
              <w:rPr>
                <w:highlight w:val="yellow"/>
              </w:rPr>
              <w:t>0 - 60%</w:t>
            </w:r>
          </w:p>
        </w:tc>
        <w:tc>
          <w:tcPr>
            <w:tcW w:w="2520" w:type="dxa"/>
            <w:shd w:val="clear" w:color="auto" w:fill="FFFF00"/>
            <w:vAlign w:val="center"/>
          </w:tcPr>
          <w:p w14:paraId="3AFA6883" w14:textId="77777777" w:rsidR="00723F1C" w:rsidRPr="00F87CCA" w:rsidRDefault="00723F1C" w:rsidP="00575BC5">
            <w:pPr>
              <w:pStyle w:val="HNDocsBodyText"/>
              <w:jc w:val="center"/>
              <w:rPr>
                <w:highlight w:val="yellow"/>
              </w:rPr>
            </w:pPr>
            <w:r w:rsidRPr="00F87CCA">
              <w:rPr>
                <w:highlight w:val="yellow"/>
              </w:rPr>
              <w:t>0 - 20%</w:t>
            </w:r>
          </w:p>
        </w:tc>
      </w:tr>
    </w:tbl>
    <w:p w14:paraId="609E9AA5" w14:textId="77777777" w:rsidR="00723F1C" w:rsidRPr="00643240" w:rsidRDefault="00723F1C" w:rsidP="00723F1C">
      <w:pPr>
        <w:pStyle w:val="HNDocsBodyText"/>
        <w:spacing w:after="0"/>
        <w:rPr>
          <w:sz w:val="18"/>
          <w:szCs w:val="30"/>
        </w:rPr>
      </w:pPr>
      <w:r w:rsidRPr="00643240">
        <w:rPr>
          <w:sz w:val="18"/>
          <w:szCs w:val="30"/>
        </w:rPr>
        <w:t xml:space="preserve">* </w:t>
      </w:r>
      <w:r w:rsidRPr="00E255B0">
        <w:rPr>
          <w:sz w:val="18"/>
          <w:szCs w:val="30"/>
          <w:highlight w:val="yellow"/>
        </w:rPr>
        <w:t>[insert licensee’s short name]</w:t>
      </w:r>
      <w:r w:rsidRPr="00643240">
        <w:rPr>
          <w:sz w:val="18"/>
          <w:szCs w:val="30"/>
        </w:rPr>
        <w:t xml:space="preserve"> may receive the pre 1 January 2018 commission rates above from the product issuer if:</w:t>
      </w:r>
    </w:p>
    <w:p w14:paraId="3F9F984A" w14:textId="77777777" w:rsidR="00723F1C" w:rsidRPr="00643240" w:rsidRDefault="00723F1C" w:rsidP="00723F1C">
      <w:pPr>
        <w:pStyle w:val="HNDocsBulletpoints"/>
        <w:numPr>
          <w:ilvl w:val="0"/>
          <w:numId w:val="29"/>
        </w:numPr>
        <w:spacing w:after="0"/>
        <w:rPr>
          <w:sz w:val="18"/>
          <w:szCs w:val="20"/>
        </w:rPr>
      </w:pPr>
      <w:r w:rsidRPr="00643240">
        <w:rPr>
          <w:sz w:val="18"/>
          <w:szCs w:val="20"/>
        </w:rPr>
        <w:t>your policy was issued before 1 January 2018 and you exercise an option or apply for additional cover under your policy after 1 January 2018; or</w:t>
      </w:r>
    </w:p>
    <w:p w14:paraId="68A21B62" w14:textId="77777777" w:rsidR="00723F1C" w:rsidRPr="00E255B0" w:rsidRDefault="00723F1C" w:rsidP="00723F1C">
      <w:pPr>
        <w:pStyle w:val="HNDocsBulletpoints"/>
        <w:numPr>
          <w:ilvl w:val="0"/>
          <w:numId w:val="29"/>
        </w:numPr>
        <w:spacing w:after="0"/>
        <w:rPr>
          <w:sz w:val="18"/>
          <w:szCs w:val="20"/>
        </w:rPr>
      </w:pPr>
      <w:r w:rsidRPr="00643240">
        <w:rPr>
          <w:sz w:val="18"/>
          <w:szCs w:val="20"/>
        </w:rPr>
        <w:t>your policy was issued before 1 January 2018 and is replaced after 1 January 2018 to correct an administrative error.</w:t>
      </w:r>
    </w:p>
    <w:p w14:paraId="2E0169E6" w14:textId="77777777" w:rsidR="00723F1C" w:rsidRPr="005E2001" w:rsidRDefault="00723F1C" w:rsidP="00723F1C">
      <w:pPr>
        <w:pStyle w:val="HNDocsBodyText"/>
      </w:pPr>
    </w:p>
    <w:p w14:paraId="07487A98" w14:textId="77777777" w:rsidR="00723F1C" w:rsidRPr="00E255B0" w:rsidRDefault="00723F1C" w:rsidP="00723F1C">
      <w:pPr>
        <w:pStyle w:val="HNDocsBodyText"/>
        <w:rPr>
          <w:u w:val="single"/>
        </w:rPr>
      </w:pPr>
      <w:r w:rsidRPr="00E255B0">
        <w:rPr>
          <w:u w:val="single"/>
        </w:rPr>
        <w:t>Example</w:t>
      </w:r>
    </w:p>
    <w:p w14:paraId="0293CB20" w14:textId="77777777" w:rsidR="00723F1C" w:rsidRDefault="00723F1C" w:rsidP="00723F1C">
      <w:pPr>
        <w:pStyle w:val="HNDocsBodyText"/>
      </w:pPr>
      <w:r w:rsidRPr="008D53B6">
        <w:t>We recommend an insurance product to you and it is</w:t>
      </w:r>
      <w:r>
        <w:t xml:space="preserve"> </w:t>
      </w:r>
      <w:r w:rsidRPr="008D53B6">
        <w:t xml:space="preserve">applied for and issued on 2 February 2018. </w:t>
      </w:r>
      <w:r>
        <w:t xml:space="preserve"> </w:t>
      </w:r>
      <w:r w:rsidRPr="008D53B6">
        <w:t>The annual</w:t>
      </w:r>
      <w:r>
        <w:t xml:space="preserve"> </w:t>
      </w:r>
      <w:r w:rsidRPr="008D53B6">
        <w:t xml:space="preserve">policy cost is $450. </w:t>
      </w:r>
      <w:r w:rsidRPr="007D2A76">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7D2A76">
        <w:rPr>
          <w:highlight w:val="yellow"/>
        </w:rPr>
        <w:t>]</w:t>
      </w:r>
      <w:r w:rsidRPr="008D53B6">
        <w:t xml:space="preserve"> may receive up to $360</w:t>
      </w:r>
      <w:r>
        <w:t xml:space="preserve"> </w:t>
      </w:r>
      <w:r w:rsidRPr="008D53B6">
        <w:t xml:space="preserve">(80% excl. GST) as an initial commission. </w:t>
      </w:r>
      <w:r>
        <w:t xml:space="preserve"> </w:t>
      </w:r>
      <w:r w:rsidRPr="008D53B6">
        <w:t>Assuming the policy cost stays the</w:t>
      </w:r>
      <w:r>
        <w:t xml:space="preserve"> </w:t>
      </w:r>
      <w:r w:rsidRPr="008D53B6">
        <w:t xml:space="preserve">same each year,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8D53B6">
        <w:t xml:space="preserve"> may receive up to $90 pa</w:t>
      </w:r>
      <w:r>
        <w:t xml:space="preserve"> </w:t>
      </w:r>
      <w:r w:rsidRPr="008D53B6">
        <w:t>(20% excl. GST) as an ongoing commission.</w:t>
      </w:r>
      <w:r>
        <w:t xml:space="preserve"> </w:t>
      </w:r>
    </w:p>
    <w:p w14:paraId="7AE43D0C" w14:textId="77777777" w:rsidR="00723F1C" w:rsidRDefault="00723F1C" w:rsidP="00723F1C">
      <w:pPr>
        <w:pStyle w:val="HNDocsBodyText"/>
      </w:pPr>
      <w:r w:rsidRPr="008D53B6">
        <w:t>From 2 April 2020, you decide to increase your insurance</w:t>
      </w:r>
      <w:r>
        <w:t xml:space="preserve"> cover</w:t>
      </w:r>
      <w:r w:rsidRPr="008D53B6">
        <w:t xml:space="preserve">. </w:t>
      </w:r>
      <w:r>
        <w:t xml:space="preserve"> </w:t>
      </w:r>
      <w:r w:rsidRPr="008D53B6">
        <w:t>The cost of this increased cover is $100.</w:t>
      </w:r>
      <w:r>
        <w:t xml:space="preserve">  </w:t>
      </w:r>
      <w:r w:rsidRPr="008D53B6">
        <w:t xml:space="preserve">The initial commission payable to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8D53B6">
        <w:t xml:space="preserve"> in respect of</w:t>
      </w:r>
      <w:r>
        <w:t xml:space="preserve"> </w:t>
      </w:r>
      <w:r w:rsidRPr="008D53B6">
        <w:t xml:space="preserve">this increase will be $60 (60% excl. GST). </w:t>
      </w:r>
      <w:r>
        <w:t xml:space="preserve"> </w:t>
      </w:r>
      <w:r w:rsidRPr="008D53B6">
        <w:t>The ongoing</w:t>
      </w:r>
      <w:r>
        <w:t xml:space="preserve"> </w:t>
      </w:r>
      <w:r w:rsidRPr="008D53B6">
        <w:t xml:space="preserve">commission payable to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8D53B6">
        <w:t xml:space="preserve"> in respect of this</w:t>
      </w:r>
      <w:r>
        <w:t xml:space="preserve"> </w:t>
      </w:r>
      <w:r w:rsidRPr="008D53B6">
        <w:t>increase will be $20 pa (20% excl. GST), payable in</w:t>
      </w:r>
      <w:r>
        <w:t xml:space="preserve"> </w:t>
      </w:r>
      <w:r w:rsidRPr="008D53B6">
        <w:t>respect of the period starting from the first anniversary of</w:t>
      </w:r>
      <w:r>
        <w:t xml:space="preserve"> </w:t>
      </w:r>
      <w:r w:rsidRPr="008D53B6">
        <w:t>the date on which you increased your insurance cover (i</w:t>
      </w:r>
      <w:r>
        <w:t>.</w:t>
      </w:r>
      <w:r w:rsidRPr="008D53B6">
        <w:t>e</w:t>
      </w:r>
      <w:r>
        <w:t xml:space="preserve">. </w:t>
      </w:r>
      <w:r w:rsidRPr="008D53B6">
        <w:t>2 April 2021).</w:t>
      </w:r>
      <w:r w:rsidRPr="00C46C6E">
        <w:t xml:space="preserve"> </w:t>
      </w:r>
    </w:p>
    <w:p w14:paraId="2106FEEF" w14:textId="77777777" w:rsidR="00723F1C" w:rsidRPr="00D31907" w:rsidRDefault="00723F1C" w:rsidP="00723F1C">
      <w:pPr>
        <w:pStyle w:val="HNDocsBodyText"/>
        <w:rPr>
          <w:i/>
          <w:color w:val="FF0000"/>
          <w:highlight w:val="yellow"/>
        </w:rPr>
      </w:pPr>
      <w:r w:rsidRPr="005E2001">
        <w:t xml:space="preserve">You’ll find details of how your insurance policy cost is calculated in the relevant PDS that we provide you. </w:t>
      </w:r>
      <w:r>
        <w:t xml:space="preserve"> </w:t>
      </w:r>
      <w:r w:rsidRPr="005E2001">
        <w:t xml:space="preserve">Where personal advice is provided to you, you’ll also find details of the commission that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rsidRPr="00010192">
        <w:rPr>
          <w:color w:val="FF0000"/>
        </w:rPr>
        <w:t xml:space="preserve"> </w:t>
      </w:r>
      <w:r>
        <w:t>is</w:t>
      </w:r>
      <w:r w:rsidRPr="005E2001">
        <w:t xml:space="preserve"> entitled to receive</w:t>
      </w:r>
      <w:r>
        <w:t>,</w:t>
      </w:r>
      <w:r w:rsidRPr="005E2001">
        <w:t xml:space="preserve"> if you decide to purchase a life insurance product, in your S</w:t>
      </w:r>
      <w:r>
        <w:t>O</w:t>
      </w:r>
      <w:r w:rsidRPr="005E2001">
        <w:t>A or R</w:t>
      </w:r>
      <w:r>
        <w:t>O</w:t>
      </w:r>
      <w:r w:rsidRPr="005E2001">
        <w:t>A.</w:t>
      </w:r>
    </w:p>
    <w:p w14:paraId="246ECDE6" w14:textId="2C27D106" w:rsidR="00723F1C" w:rsidRPr="008D1508" w:rsidRDefault="00723F1C" w:rsidP="00723F1C">
      <w:pPr>
        <w:pStyle w:val="HNDocsHeading4"/>
      </w:pPr>
      <w:r w:rsidRPr="008D1508">
        <w:t>Margin</w:t>
      </w:r>
      <w:r w:rsidR="000831FE">
        <w:t xml:space="preserve"> l</w:t>
      </w:r>
      <w:r w:rsidRPr="008D1508">
        <w:t xml:space="preserve">ending </w:t>
      </w:r>
      <w:r w:rsidR="000831FE">
        <w:t>p</w:t>
      </w:r>
      <w:r w:rsidRPr="008D1508">
        <w:t>roducts</w:t>
      </w:r>
    </w:p>
    <w:p w14:paraId="49DDB770" w14:textId="77777777" w:rsidR="00723F1C" w:rsidRDefault="00723F1C" w:rsidP="00723F1C">
      <w:pPr>
        <w:pStyle w:val="HNDocsBodyText"/>
      </w:pPr>
      <w:r w:rsidRPr="00910ED2">
        <w:t xml:space="preserve">If we organise, or increase a margin loan for you, </w:t>
      </w:r>
      <w:r w:rsidRPr="007302B9">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7302B9">
        <w:rPr>
          <w:highlight w:val="yellow"/>
        </w:rPr>
        <w:t>]</w:t>
      </w:r>
      <w:r w:rsidRPr="00910ED2">
        <w:t xml:space="preserve"> may receive payments in the form of ongoing commissions from the margin loan provider. </w:t>
      </w:r>
      <w:r>
        <w:t xml:space="preserve"> </w:t>
      </w:r>
      <w:r w:rsidRPr="00910ED2">
        <w:t>Commissions on margin lending product</w:t>
      </w:r>
      <w:r>
        <w:t>s may only be payable in</w:t>
      </w:r>
      <w:r w:rsidRPr="00910ED2">
        <w:t xml:space="preserve"> circumstances where</w:t>
      </w:r>
      <w:r>
        <w:t>:</w:t>
      </w:r>
    </w:p>
    <w:p w14:paraId="59D31715" w14:textId="77777777" w:rsidR="00723F1C" w:rsidRDefault="00723F1C" w:rsidP="00723F1C">
      <w:pPr>
        <w:pStyle w:val="HNDocsBulletpoints"/>
      </w:pPr>
      <w:r w:rsidRPr="00910ED2">
        <w:t>an arran</w:t>
      </w:r>
      <w:r>
        <w:t>gement exists as at 1 July 2013; or,</w:t>
      </w:r>
    </w:p>
    <w:p w14:paraId="122960D7" w14:textId="77777777" w:rsidR="00723F1C" w:rsidRDefault="00723F1C" w:rsidP="00723F1C">
      <w:pPr>
        <w:pStyle w:val="HNDocsBulletpoints"/>
        <w:spacing w:after="240"/>
        <w:ind w:left="714" w:hanging="357"/>
      </w:pPr>
      <w:r w:rsidRPr="00910ED2">
        <w:t>you have entered into a margin lending product arrangement prior to 1 July 2014</w:t>
      </w:r>
      <w:r>
        <w:t>, c</w:t>
      </w:r>
      <w:r w:rsidRPr="00910ED2">
        <w:t xml:space="preserve">ommissions may be payable where </w:t>
      </w:r>
      <w:r w:rsidRPr="008D1508">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8D1508">
        <w:rPr>
          <w:highlight w:val="yellow"/>
        </w:rPr>
        <w:t>]</w:t>
      </w:r>
      <w:r>
        <w:t xml:space="preserve"> </w:t>
      </w:r>
      <w:r w:rsidRPr="00910ED2">
        <w:t xml:space="preserve">had an existing arrangement with the margin loan provider prior to 1 July 2013. </w:t>
      </w:r>
    </w:p>
    <w:p w14:paraId="5874D446" w14:textId="3EB97BF6" w:rsidR="00723F1C" w:rsidRPr="00910ED2" w:rsidRDefault="00723F1C" w:rsidP="00723F1C">
      <w:pPr>
        <w:pStyle w:val="HNDocsBodyText"/>
      </w:pPr>
      <w:r w:rsidRPr="00910ED2">
        <w:t xml:space="preserve">These commissions range </w:t>
      </w:r>
      <w:r w:rsidRPr="008D1508">
        <w:t xml:space="preserve">between </w:t>
      </w:r>
      <w:r w:rsidRPr="008D1508">
        <w:rPr>
          <w:highlight w:val="yellow"/>
        </w:rPr>
        <w:t>XX</w:t>
      </w:r>
      <w:r w:rsidRPr="00E85F9D">
        <w:t xml:space="preserve">% and </w:t>
      </w:r>
      <w:r w:rsidRPr="00E255B0">
        <w:rPr>
          <w:highlight w:val="yellow"/>
        </w:rPr>
        <w:t>XX</w:t>
      </w:r>
      <w:r w:rsidRPr="00E85F9D">
        <w:t>%</w:t>
      </w:r>
      <w:r w:rsidRPr="008D1508">
        <w:t xml:space="preserve"> </w:t>
      </w:r>
      <w:r w:rsidRPr="00910ED2">
        <w:t>pa of your loan balance.</w:t>
      </w:r>
    </w:p>
    <w:p w14:paraId="150055CD" w14:textId="77777777" w:rsidR="00723F1C" w:rsidRPr="00910ED2" w:rsidRDefault="00723F1C" w:rsidP="00723F1C">
      <w:pPr>
        <w:pStyle w:val="HNDocsBodyText"/>
        <w:rPr>
          <w:u w:val="single"/>
        </w:rPr>
      </w:pPr>
      <w:r w:rsidRPr="00910ED2">
        <w:rPr>
          <w:u w:val="single"/>
        </w:rPr>
        <w:t>Example</w:t>
      </w:r>
    </w:p>
    <w:p w14:paraId="28858ED0" w14:textId="777D4348" w:rsidR="00723F1C" w:rsidRPr="00C2504C" w:rsidRDefault="00723F1C" w:rsidP="00723F1C">
      <w:pPr>
        <w:pStyle w:val="HNDocsBodyText"/>
      </w:pPr>
      <w:r w:rsidRPr="00910ED2">
        <w:t xml:space="preserve">We recommend you borrow $10,000 through a margin loan. </w:t>
      </w:r>
      <w:r>
        <w:t xml:space="preserve"> </w:t>
      </w:r>
      <w:r w:rsidRPr="00910ED2">
        <w:t xml:space="preserve">The applicable ongoing commission is 0.5% pa. </w:t>
      </w:r>
      <w:r>
        <w:t xml:space="preserve"> </w:t>
      </w:r>
      <w:r w:rsidRPr="00910ED2">
        <w:t xml:space="preserve">Assuming the loan balance stays the same, each year </w:t>
      </w:r>
      <w:r w:rsidRPr="007302B9">
        <w:rPr>
          <w:highlight w:val="yellow"/>
        </w:rPr>
        <w:t>[</w:t>
      </w:r>
      <w:r>
        <w:rPr>
          <w:highlight w:val="yellow"/>
        </w:rPr>
        <w:t xml:space="preserve">insert </w:t>
      </w:r>
      <w:r w:rsidRPr="00C2504C">
        <w:rPr>
          <w:highlight w:val="yellow"/>
        </w:rPr>
        <w:t>licensee</w:t>
      </w:r>
      <w:r>
        <w:rPr>
          <w:highlight w:val="yellow"/>
        </w:rPr>
        <w:t>’s</w:t>
      </w:r>
      <w:r w:rsidRPr="00C2504C">
        <w:rPr>
          <w:highlight w:val="yellow"/>
        </w:rPr>
        <w:t xml:space="preserve"> </w:t>
      </w:r>
      <w:r>
        <w:rPr>
          <w:highlight w:val="yellow"/>
        </w:rPr>
        <w:t>s</w:t>
      </w:r>
      <w:r w:rsidRPr="00C2504C">
        <w:rPr>
          <w:highlight w:val="yellow"/>
        </w:rPr>
        <w:t xml:space="preserve">hort </w:t>
      </w:r>
      <w:r>
        <w:rPr>
          <w:highlight w:val="yellow"/>
        </w:rPr>
        <w:t>n</w:t>
      </w:r>
      <w:r w:rsidRPr="00C2504C">
        <w:rPr>
          <w:highlight w:val="yellow"/>
        </w:rPr>
        <w:t>ame</w:t>
      </w:r>
      <w:r w:rsidRPr="007302B9">
        <w:rPr>
          <w:highlight w:val="yellow"/>
        </w:rPr>
        <w:t>]</w:t>
      </w:r>
      <w:r>
        <w:t xml:space="preserve"> </w:t>
      </w:r>
      <w:r w:rsidRPr="00910ED2">
        <w:t>will receive ongoing commission of $50</w:t>
      </w:r>
      <w:r>
        <w:t>.</w:t>
      </w:r>
    </w:p>
    <w:p w14:paraId="26C4976F" w14:textId="77777777" w:rsidR="00723F1C" w:rsidRDefault="00723F1C" w:rsidP="00723F1C">
      <w:pPr>
        <w:pStyle w:val="HNDocsBodyText"/>
      </w:pPr>
      <w:r>
        <w:t xml:space="preserve">You may request more details about the way </w:t>
      </w:r>
      <w:r w:rsidRPr="00E337D6">
        <w:t>we</w:t>
      </w:r>
      <w:r>
        <w:t xml:space="preserve"> are remunerated within a reasonable time after receiving this document.</w:t>
      </w:r>
    </w:p>
    <w:p w14:paraId="5EF236F1" w14:textId="77777777" w:rsidR="00723F1C" w:rsidRPr="00A02FCC" w:rsidRDefault="00723F1C" w:rsidP="00723F1C">
      <w:pPr>
        <w:pStyle w:val="HNDocsHeading2"/>
        <w:rPr>
          <w:i/>
        </w:rPr>
      </w:pPr>
      <w:bookmarkStart w:id="20" w:name="_Toc212618676"/>
      <w:bookmarkStart w:id="21" w:name="_Toc119402010"/>
      <w:r w:rsidRPr="002D674E">
        <w:t>How are we</w:t>
      </w:r>
      <w:r w:rsidRPr="002A31CB">
        <w:t xml:space="preserve"> and third parties remunerated?</w:t>
      </w:r>
      <w:bookmarkEnd w:id="20"/>
      <w:r w:rsidRPr="002A31CB">
        <w:t xml:space="preserve"> </w:t>
      </w:r>
      <w:bookmarkEnd w:id="21"/>
    </w:p>
    <w:p w14:paraId="0D32AF8B" w14:textId="1B8B1B38" w:rsidR="00723F1C" w:rsidRPr="00E75D0A" w:rsidRDefault="00723F1C" w:rsidP="00723F1C">
      <w:pPr>
        <w:pStyle w:val="HNDocsBodyText"/>
        <w:rPr>
          <w:highlight w:val="yellow"/>
        </w:rPr>
      </w:pPr>
      <w:r w:rsidRPr="007F20C1">
        <w:t xml:space="preserve">The </w:t>
      </w:r>
      <w:r>
        <w:t>L</w:t>
      </w:r>
      <w:r w:rsidRPr="007F20C1">
        <w:t>icensee</w:t>
      </w:r>
      <w:r>
        <w:t>’s</w:t>
      </w:r>
      <w:r w:rsidRPr="00E337D6">
        <w:t xml:space="preserve"> directors and employees </w:t>
      </w:r>
      <w:r w:rsidRPr="00E75D0A">
        <w:rPr>
          <w:highlight w:val="yellow"/>
        </w:rPr>
        <w:t>[(including any employees of a related body corporate)]</w:t>
      </w:r>
      <w:r>
        <w:t xml:space="preserve"> </w:t>
      </w:r>
      <w:r w:rsidRPr="00E337D6">
        <w:t xml:space="preserve">are remunerated by salary </w:t>
      </w:r>
      <w:r w:rsidRPr="00E75D0A">
        <w:rPr>
          <w:highlight w:val="yellow"/>
        </w:rPr>
        <w:t>[and may also be awarded an annual bonus</w:t>
      </w:r>
      <w:r w:rsidRPr="00E255B0">
        <w:rPr>
          <w:highlight w:val="yellow"/>
        </w:rPr>
        <w:t>]</w:t>
      </w:r>
      <w:r w:rsidRPr="00E337D6">
        <w:t>.</w:t>
      </w:r>
      <w:r>
        <w:t xml:space="preserve">  </w:t>
      </w:r>
      <w:r w:rsidRPr="00E75D0A">
        <w:rPr>
          <w:highlight w:val="yellow"/>
        </w:rPr>
        <w:t>Bonuses will depend on several factors</w:t>
      </w:r>
      <w:r w:rsidR="00F45B3A">
        <w:rPr>
          <w:highlight w:val="yellow"/>
        </w:rPr>
        <w:t>,</w:t>
      </w:r>
      <w:r w:rsidRPr="00E75D0A">
        <w:rPr>
          <w:highlight w:val="yellow"/>
        </w:rPr>
        <w:t xml:space="preserve"> including: </w:t>
      </w:r>
    </w:p>
    <w:p w14:paraId="6C8521DD" w14:textId="77777777" w:rsidR="00723F1C" w:rsidRPr="00E75D0A" w:rsidRDefault="00723F1C" w:rsidP="00723F1C">
      <w:pPr>
        <w:pStyle w:val="HNDocsBulletpoints"/>
        <w:rPr>
          <w:highlight w:val="yellow"/>
        </w:rPr>
      </w:pPr>
      <w:r w:rsidRPr="00E75D0A">
        <w:rPr>
          <w:highlight w:val="yellow"/>
        </w:rPr>
        <w:t>company performance;</w:t>
      </w:r>
    </w:p>
    <w:p w14:paraId="4A71083B" w14:textId="77777777" w:rsidR="00723F1C" w:rsidRPr="00FC4C4E" w:rsidRDefault="00723F1C" w:rsidP="00723F1C">
      <w:pPr>
        <w:pStyle w:val="HNDocsBulletpoints"/>
        <w:rPr>
          <w:highlight w:val="yellow"/>
        </w:rPr>
      </w:pPr>
      <w:r w:rsidRPr="00E75D0A">
        <w:rPr>
          <w:highlight w:val="yellow"/>
        </w:rPr>
        <w:t>professionalism and adherence to compliance procedures; an</w:t>
      </w:r>
      <w:r w:rsidRPr="00FC4C4E">
        <w:rPr>
          <w:highlight w:val="yellow"/>
        </w:rPr>
        <w:t>d</w:t>
      </w:r>
    </w:p>
    <w:p w14:paraId="6D559D77" w14:textId="77777777" w:rsidR="00723F1C" w:rsidRPr="00FC4C4E" w:rsidRDefault="00723F1C" w:rsidP="00723F1C">
      <w:pPr>
        <w:pStyle w:val="HNDocsBulletpoints"/>
        <w:spacing w:after="240"/>
        <w:ind w:left="714" w:hanging="357"/>
        <w:rPr>
          <w:highlight w:val="yellow"/>
        </w:rPr>
      </w:pPr>
      <w:r w:rsidRPr="00FC4C4E">
        <w:rPr>
          <w:highlight w:val="yellow"/>
        </w:rPr>
        <w:t>team performance.</w:t>
      </w:r>
    </w:p>
    <w:p w14:paraId="0886DCDD" w14:textId="77777777" w:rsidR="00723F1C" w:rsidRDefault="00723F1C" w:rsidP="00723F1C">
      <w:pPr>
        <w:pStyle w:val="HNDocsBodyText"/>
      </w:pPr>
      <w:r w:rsidRPr="007F20C1">
        <w:t xml:space="preserve">The </w:t>
      </w:r>
      <w:r>
        <w:t>L</w:t>
      </w:r>
      <w:r w:rsidRPr="007F20C1">
        <w:t>icensee</w:t>
      </w:r>
      <w:r>
        <w:t>’s</w:t>
      </w:r>
      <w:r w:rsidRPr="00E337D6">
        <w:t xml:space="preserve"> </w:t>
      </w:r>
      <w:r>
        <w:t xml:space="preserve">shareholders </w:t>
      </w:r>
      <w:r w:rsidRPr="00E75D0A">
        <w:rPr>
          <w:highlight w:val="yellow"/>
        </w:rPr>
        <w:t>[(including any shareholders of a related body corporate)]</w:t>
      </w:r>
      <w:r>
        <w:t xml:space="preserve"> will also receive a benefit based on the Licensee’s ongoing company performance. </w:t>
      </w:r>
    </w:p>
    <w:p w14:paraId="38D3BCDD" w14:textId="71B21EC3" w:rsidR="00723F1C" w:rsidRDefault="00723F1C" w:rsidP="00723F1C">
      <w:pPr>
        <w:pStyle w:val="HNDocsBodyText"/>
      </w:pPr>
      <w:r>
        <w:rPr>
          <w:highlight w:val="yellow"/>
        </w:rPr>
        <w:t>[</w:t>
      </w:r>
      <w:r w:rsidRPr="00926C49">
        <w:rPr>
          <w:highlight w:val="yellow"/>
        </w:rPr>
        <w:t xml:space="preserve">If </w:t>
      </w:r>
      <w:r>
        <w:rPr>
          <w:highlight w:val="yellow"/>
        </w:rPr>
        <w:t xml:space="preserve">the </w:t>
      </w:r>
      <w:r w:rsidR="00511586">
        <w:rPr>
          <w:highlight w:val="yellow"/>
        </w:rPr>
        <w:t>L</w:t>
      </w:r>
      <w:r>
        <w:rPr>
          <w:highlight w:val="yellow"/>
        </w:rPr>
        <w:t xml:space="preserve">icensee </w:t>
      </w:r>
      <w:r w:rsidRPr="00926C49">
        <w:rPr>
          <w:highlight w:val="yellow"/>
        </w:rPr>
        <w:t>pay</w:t>
      </w:r>
      <w:r>
        <w:rPr>
          <w:highlight w:val="yellow"/>
        </w:rPr>
        <w:t>s</w:t>
      </w:r>
      <w:r w:rsidRPr="00926C49">
        <w:rPr>
          <w:highlight w:val="yellow"/>
        </w:rPr>
        <w:t xml:space="preserve"> or receive</w:t>
      </w:r>
      <w:r>
        <w:rPr>
          <w:highlight w:val="yellow"/>
        </w:rPr>
        <w:t>s</w:t>
      </w:r>
      <w:r w:rsidRPr="00926C49">
        <w:rPr>
          <w:highlight w:val="yellow"/>
        </w:rPr>
        <w:t xml:space="preserve"> referral fees to</w:t>
      </w:r>
      <w:r>
        <w:rPr>
          <w:highlight w:val="yellow"/>
        </w:rPr>
        <w:t xml:space="preserve"> or </w:t>
      </w:r>
      <w:r w:rsidRPr="00926C49">
        <w:rPr>
          <w:highlight w:val="yellow"/>
        </w:rPr>
        <w:t xml:space="preserve">from a third party, </w:t>
      </w:r>
      <w:r>
        <w:rPr>
          <w:highlight w:val="yellow"/>
        </w:rPr>
        <w:t xml:space="preserve">or if a related company of the Licensee (or their shareholders, directors, secretary, employee or other associate) receive any fees or benefits for the provision of the services, </w:t>
      </w:r>
      <w:r w:rsidRPr="00926C49">
        <w:rPr>
          <w:highlight w:val="yellow"/>
        </w:rPr>
        <w:t xml:space="preserve">you must disclose the fees here. </w:t>
      </w:r>
      <w:r>
        <w:rPr>
          <w:highlight w:val="yellow"/>
        </w:rPr>
        <w:t xml:space="preserve"> </w:t>
      </w:r>
      <w:r w:rsidRPr="00926C49">
        <w:rPr>
          <w:highlight w:val="yellow"/>
        </w:rPr>
        <w:t>You must disclose:</w:t>
      </w:r>
    </w:p>
    <w:p w14:paraId="2E013511" w14:textId="77777777" w:rsidR="00723F1C" w:rsidRDefault="00723F1C" w:rsidP="00723F1C">
      <w:pPr>
        <w:pStyle w:val="HNDocsBulletpoints"/>
        <w:numPr>
          <w:ilvl w:val="0"/>
          <w:numId w:val="28"/>
        </w:numPr>
        <w:rPr>
          <w:highlight w:val="yellow"/>
        </w:rPr>
      </w:pPr>
      <w:r>
        <w:rPr>
          <w:highlight w:val="yellow"/>
        </w:rPr>
        <w:t>the amount of the fee, if it can be ascertained at the time of giving the FSG; or</w:t>
      </w:r>
    </w:p>
    <w:p w14:paraId="7F5D8B4A" w14:textId="77777777" w:rsidR="00723F1C" w:rsidRDefault="00723F1C" w:rsidP="00723F1C">
      <w:pPr>
        <w:pStyle w:val="HNDocsBulletpoints"/>
        <w:numPr>
          <w:ilvl w:val="0"/>
          <w:numId w:val="28"/>
        </w:numPr>
        <w:spacing w:after="240"/>
        <w:ind w:left="714" w:hanging="357"/>
        <w:rPr>
          <w:highlight w:val="yellow"/>
        </w:rPr>
      </w:pPr>
      <w:r>
        <w:rPr>
          <w:highlight w:val="yellow"/>
        </w:rPr>
        <w:t>if the fee cannot be ascertained at the time the FSG is provided to the client, you must provide general information about remuneration and the manner in which it is to be calculated].</w:t>
      </w:r>
    </w:p>
    <w:p w14:paraId="42B585FA" w14:textId="429FE2C6" w:rsidR="00723F1C" w:rsidRPr="00A02FCC" w:rsidRDefault="00723F1C" w:rsidP="00723F1C">
      <w:pPr>
        <w:pStyle w:val="HNDocsBodyText"/>
        <w:rPr>
          <w:highlight w:val="yellow"/>
        </w:rPr>
      </w:pPr>
      <w:r w:rsidRPr="00A02FCC">
        <w:rPr>
          <w:highlight w:val="yellow"/>
        </w:rPr>
        <w:t xml:space="preserve">[If you provide personal advice to retail clients and are subject to the FASEA Code of Conduct, any </w:t>
      </w:r>
      <w:r>
        <w:rPr>
          <w:highlight w:val="yellow"/>
        </w:rPr>
        <w:t>r</w:t>
      </w:r>
      <w:r w:rsidRPr="00A02FCC">
        <w:rPr>
          <w:highlight w:val="yellow"/>
        </w:rPr>
        <w:t>eferral fees must be to the corporate or business entity, and not the individual adviser</w:t>
      </w:r>
      <w:r w:rsidR="00F45B3A">
        <w:rPr>
          <w:highlight w:val="yellow"/>
        </w:rPr>
        <w:t>,</w:t>
      </w:r>
      <w:r w:rsidRPr="00A02FCC">
        <w:rPr>
          <w:highlight w:val="yellow"/>
        </w:rPr>
        <w:t xml:space="preserve"> to comply with the Code of Conduct.] </w:t>
      </w:r>
    </w:p>
    <w:p w14:paraId="48E19778" w14:textId="77777777" w:rsidR="00723F1C" w:rsidRDefault="00723F1C" w:rsidP="00723F1C">
      <w:pPr>
        <w:pStyle w:val="HNDocsBodyText"/>
        <w:rPr>
          <w:color w:val="000000"/>
        </w:rPr>
      </w:pPr>
      <w:r>
        <w:rPr>
          <w:color w:val="000000"/>
        </w:rPr>
        <w:t>You may request more details about the way these people or entities are remunerated within a reasonable time after receiving this document and before any financial services are given to you.  If remuneration or other benefits are calculable at the time personal advice is given, it will be disclosed at the time that personal advice is given, or as soon as practicable afterwards.  If remuneration is not calculable at that time, a statement of how the remuneration is calculated will be given to you at the time the advice is given, or as soon as practicable afterwards.</w:t>
      </w:r>
    </w:p>
    <w:p w14:paraId="117CB3A8" w14:textId="77777777" w:rsidR="00723F1C" w:rsidRPr="0062592B" w:rsidRDefault="00723F1C" w:rsidP="00723F1C">
      <w:pPr>
        <w:pStyle w:val="HNDocsBodyText"/>
      </w:pPr>
      <w:r w:rsidRPr="0062592B">
        <w:rPr>
          <w:szCs w:val="20"/>
          <w:lang w:eastAsia="en-AU"/>
        </w:rPr>
        <w:t xml:space="preserve">By using or continuing to use our services, you agree that: </w:t>
      </w:r>
    </w:p>
    <w:p w14:paraId="7804FE6F" w14:textId="77777777" w:rsidR="00723F1C" w:rsidRPr="0062592B" w:rsidRDefault="00723F1C" w:rsidP="00723F1C">
      <w:pPr>
        <w:pStyle w:val="HNDocsBulletpoints"/>
        <w:numPr>
          <w:ilvl w:val="0"/>
          <w:numId w:val="27"/>
        </w:numPr>
      </w:pPr>
      <w:r w:rsidRPr="0062592B">
        <w:t>All fees and charges received by us as described in this FSG (other than third party fees and charges) are a benefit given to us by you, in exchange for the services provided by us.</w:t>
      </w:r>
    </w:p>
    <w:p w14:paraId="72A1D052" w14:textId="77777777" w:rsidR="00723F1C" w:rsidRPr="0062592B" w:rsidRDefault="00723F1C" w:rsidP="00723F1C">
      <w:pPr>
        <w:pStyle w:val="HNDocsBulletpoints"/>
        <w:numPr>
          <w:ilvl w:val="0"/>
          <w:numId w:val="27"/>
        </w:numPr>
      </w:pPr>
      <w:r w:rsidRPr="0062592B">
        <w:t xml:space="preserve">We do not charge asset-based fees where you are investing using borrowed money. </w:t>
      </w:r>
    </w:p>
    <w:p w14:paraId="44C1DE7D" w14:textId="77777777" w:rsidR="00723F1C" w:rsidRPr="0062592B" w:rsidRDefault="00723F1C" w:rsidP="00723F1C">
      <w:pPr>
        <w:pStyle w:val="HNDocsBulletpoints"/>
        <w:numPr>
          <w:ilvl w:val="0"/>
          <w:numId w:val="27"/>
        </w:numPr>
      </w:pPr>
      <w:r w:rsidRPr="0062592B">
        <w:t xml:space="preserve">You understand, consent to, authorise and direct us to charge you in this way. </w:t>
      </w:r>
    </w:p>
    <w:p w14:paraId="72BC9904" w14:textId="77777777" w:rsidR="000831FE" w:rsidRDefault="000831FE">
      <w:pPr>
        <w:rPr>
          <w:rFonts w:ascii="Arial Bold" w:hAnsi="Arial Bold"/>
          <w:b/>
          <w:bCs/>
          <w:kern w:val="32"/>
          <w:sz w:val="28"/>
          <w:szCs w:val="32"/>
          <w:lang w:eastAsia="en-US"/>
        </w:rPr>
      </w:pPr>
      <w:r>
        <w:br w:type="page"/>
      </w:r>
    </w:p>
    <w:p w14:paraId="5C812F42" w14:textId="41C66279" w:rsidR="00723F1C" w:rsidRPr="002D674E" w:rsidRDefault="00723F1C" w:rsidP="00723F1C">
      <w:pPr>
        <w:pStyle w:val="HNDocsHeading2"/>
      </w:pPr>
      <w:r w:rsidRPr="002D674E">
        <w:t>What arrangements may influence our advice to you?</w:t>
      </w:r>
    </w:p>
    <w:p w14:paraId="62FEEC9D" w14:textId="77777777" w:rsidR="00723F1C" w:rsidRPr="00A02FCC" w:rsidRDefault="00723F1C" w:rsidP="00723F1C">
      <w:pPr>
        <w:pStyle w:val="HNDocsBodyText"/>
      </w:pPr>
      <w:r w:rsidRPr="00A02FCC">
        <w:rPr>
          <w:highlight w:val="yellow"/>
        </w:rPr>
        <w:t>[Provide information about any associations or relationships between the providing entity (or a related body corporate) and the issuers of any financial products, which might reasonably be expected to be capable of influencing the providing entity in providing any of the authorised services.  E.g.:]</w:t>
      </w:r>
      <w:r w:rsidRPr="00A02FCC">
        <w:t xml:space="preserve"> </w:t>
      </w:r>
    </w:p>
    <w:p w14:paraId="68C8239E" w14:textId="77777777" w:rsidR="00723F1C" w:rsidRPr="00A02FCC" w:rsidRDefault="00723F1C" w:rsidP="00723F1C">
      <w:pPr>
        <w:pStyle w:val="HNDocsBodyText"/>
        <w:rPr>
          <w:i/>
          <w:highlight w:val="yellow"/>
        </w:rPr>
      </w:pPr>
      <w:r w:rsidRPr="00A02FCC">
        <w:rPr>
          <w:i/>
          <w:highlight w:val="yellow"/>
        </w:rPr>
        <w:t xml:space="preserve">[The </w:t>
      </w:r>
      <w:r>
        <w:rPr>
          <w:i/>
          <w:highlight w:val="yellow"/>
        </w:rPr>
        <w:t>L</w:t>
      </w:r>
      <w:r w:rsidRPr="00A02FCC">
        <w:rPr>
          <w:i/>
          <w:highlight w:val="yellow"/>
        </w:rPr>
        <w:t>icensee has an Approved Product List which includes some [</w:t>
      </w:r>
      <w:r>
        <w:rPr>
          <w:i/>
          <w:highlight w:val="yellow"/>
        </w:rPr>
        <w:t>i</w:t>
      </w:r>
      <w:r w:rsidRPr="00A02FCC">
        <w:rPr>
          <w:i/>
          <w:highlight w:val="yellow"/>
        </w:rPr>
        <w:t xml:space="preserve">nsert </w:t>
      </w:r>
      <w:r>
        <w:rPr>
          <w:i/>
          <w:highlight w:val="yellow"/>
        </w:rPr>
        <w:t>o</w:t>
      </w:r>
      <w:r w:rsidRPr="00A02FCC">
        <w:rPr>
          <w:i/>
          <w:highlight w:val="yellow"/>
        </w:rPr>
        <w:t xml:space="preserve">ther </w:t>
      </w:r>
      <w:r>
        <w:rPr>
          <w:i/>
          <w:highlight w:val="yellow"/>
        </w:rPr>
        <w:t>r</w:t>
      </w:r>
      <w:r w:rsidRPr="00A02FCC">
        <w:rPr>
          <w:i/>
          <w:highlight w:val="yellow"/>
        </w:rPr>
        <w:t xml:space="preserve">elated </w:t>
      </w:r>
      <w:r>
        <w:rPr>
          <w:i/>
          <w:highlight w:val="yellow"/>
        </w:rPr>
        <w:t>e</w:t>
      </w:r>
      <w:r w:rsidRPr="00A02FCC">
        <w:rPr>
          <w:i/>
          <w:highlight w:val="yellow"/>
        </w:rPr>
        <w:t>ntity] and [</w:t>
      </w:r>
      <w:r>
        <w:rPr>
          <w:i/>
          <w:highlight w:val="yellow"/>
        </w:rPr>
        <w:t>i</w:t>
      </w:r>
      <w:r w:rsidRPr="00A02FCC">
        <w:rPr>
          <w:i/>
          <w:highlight w:val="yellow"/>
        </w:rPr>
        <w:t xml:space="preserve">nsert </w:t>
      </w:r>
      <w:r>
        <w:rPr>
          <w:i/>
          <w:highlight w:val="yellow"/>
        </w:rPr>
        <w:t>o</w:t>
      </w:r>
      <w:r w:rsidRPr="00A02FCC">
        <w:rPr>
          <w:i/>
          <w:highlight w:val="yellow"/>
        </w:rPr>
        <w:t xml:space="preserve">ther </w:t>
      </w:r>
      <w:r>
        <w:rPr>
          <w:i/>
          <w:highlight w:val="yellow"/>
        </w:rPr>
        <w:t>r</w:t>
      </w:r>
      <w:r w:rsidRPr="00A02FCC">
        <w:rPr>
          <w:i/>
          <w:highlight w:val="yellow"/>
        </w:rPr>
        <w:t xml:space="preserve">elated </w:t>
      </w:r>
      <w:r>
        <w:rPr>
          <w:i/>
          <w:highlight w:val="yellow"/>
        </w:rPr>
        <w:t>e</w:t>
      </w:r>
      <w:r w:rsidRPr="00A02FCC">
        <w:rPr>
          <w:i/>
          <w:highlight w:val="yellow"/>
        </w:rPr>
        <w:t>ntity] financial products</w:t>
      </w:r>
      <w:r>
        <w:rPr>
          <w:i/>
          <w:highlight w:val="yellow"/>
        </w:rPr>
        <w:t>,</w:t>
      </w:r>
      <w:r w:rsidRPr="00A02FCC">
        <w:rPr>
          <w:i/>
          <w:highlight w:val="yellow"/>
        </w:rPr>
        <w:t xml:space="preserve"> as well as a range of financial products from product providers not associated with the </w:t>
      </w:r>
      <w:r>
        <w:rPr>
          <w:i/>
          <w:highlight w:val="yellow"/>
        </w:rPr>
        <w:t>L</w:t>
      </w:r>
      <w:r w:rsidRPr="00A02FCC">
        <w:rPr>
          <w:i/>
          <w:highlight w:val="yellow"/>
        </w:rPr>
        <w:t xml:space="preserve">icensee.  The </w:t>
      </w:r>
      <w:r>
        <w:rPr>
          <w:i/>
          <w:highlight w:val="yellow"/>
        </w:rPr>
        <w:t>L</w:t>
      </w:r>
      <w:r w:rsidRPr="00A02FCC">
        <w:rPr>
          <w:i/>
          <w:highlight w:val="yellow"/>
        </w:rPr>
        <w:t xml:space="preserve">icensee does not require its </w:t>
      </w:r>
      <w:r>
        <w:rPr>
          <w:i/>
          <w:highlight w:val="yellow"/>
        </w:rPr>
        <w:t>r</w:t>
      </w:r>
      <w:r w:rsidRPr="00D8695F">
        <w:rPr>
          <w:i/>
          <w:highlight w:val="yellow"/>
        </w:rPr>
        <w:t>epresentatives</w:t>
      </w:r>
      <w:r w:rsidRPr="00A02FCC">
        <w:rPr>
          <w:i/>
          <w:highlight w:val="yellow"/>
        </w:rPr>
        <w:t xml:space="preserve"> to recommend only [</w:t>
      </w:r>
      <w:r>
        <w:rPr>
          <w:i/>
          <w:highlight w:val="yellow"/>
        </w:rPr>
        <w:t>i</w:t>
      </w:r>
      <w:r w:rsidRPr="00A02FCC">
        <w:rPr>
          <w:i/>
          <w:highlight w:val="yellow"/>
        </w:rPr>
        <w:t xml:space="preserve">nsert </w:t>
      </w:r>
      <w:r>
        <w:rPr>
          <w:i/>
          <w:highlight w:val="yellow"/>
        </w:rPr>
        <w:t>p</w:t>
      </w:r>
      <w:r w:rsidRPr="00A02FCC">
        <w:rPr>
          <w:i/>
          <w:highlight w:val="yellow"/>
        </w:rPr>
        <w:t xml:space="preserve">roduct </w:t>
      </w:r>
      <w:r>
        <w:rPr>
          <w:i/>
          <w:highlight w:val="yellow"/>
        </w:rPr>
        <w:t>p</w:t>
      </w:r>
      <w:r w:rsidRPr="00A02FCC">
        <w:rPr>
          <w:i/>
          <w:highlight w:val="yellow"/>
        </w:rPr>
        <w:t>rovider] products.</w:t>
      </w:r>
    </w:p>
    <w:p w14:paraId="610B4368" w14:textId="77777777" w:rsidR="00723F1C" w:rsidRPr="00A02FCC" w:rsidRDefault="00723F1C" w:rsidP="00723F1C">
      <w:pPr>
        <w:pStyle w:val="HNDocsBodyText"/>
        <w:rPr>
          <w:i/>
        </w:rPr>
      </w:pPr>
      <w:r w:rsidRPr="00A02FCC">
        <w:rPr>
          <w:i/>
          <w:highlight w:val="yellow"/>
        </w:rPr>
        <w:t>We are generally only permitted to recommend Wrap services provided by platform providers on the Approved Product List, however</w:t>
      </w:r>
      <w:r>
        <w:rPr>
          <w:i/>
          <w:highlight w:val="yellow"/>
        </w:rPr>
        <w:t>,</w:t>
      </w:r>
      <w:r w:rsidRPr="00A02FCC">
        <w:rPr>
          <w:i/>
          <w:highlight w:val="yellow"/>
        </w:rPr>
        <w:t xml:space="preserve"> we can recommend other Wrap services to you where it suits your </w:t>
      </w:r>
      <w:r w:rsidRPr="00EE1486">
        <w:rPr>
          <w:i/>
          <w:highlight w:val="yellow"/>
        </w:rPr>
        <w:t>objectives, financial situation and needs.]</w:t>
      </w:r>
    </w:p>
    <w:p w14:paraId="0825D2EA" w14:textId="409D7BA9" w:rsidR="00723F1C" w:rsidRPr="00A02FCC" w:rsidRDefault="00723F1C" w:rsidP="00723F1C">
      <w:pPr>
        <w:pStyle w:val="HNDocsBodyText"/>
        <w:rPr>
          <w:i/>
          <w:highlight w:val="yellow"/>
        </w:rPr>
      </w:pPr>
      <w:r w:rsidRPr="00A02FCC">
        <w:rPr>
          <w:i/>
          <w:highlight w:val="yellow"/>
        </w:rPr>
        <w:t xml:space="preserve">[From time to time we may accept alternative forms of remuneration from product providers or other parties, such as hospitality or support connected with our professional development (e.g. training or sponsorship to attend conferences). </w:t>
      </w:r>
      <w:r>
        <w:rPr>
          <w:i/>
          <w:highlight w:val="yellow"/>
        </w:rPr>
        <w:t xml:space="preserve"> </w:t>
      </w:r>
      <w:r w:rsidRPr="00A02FCC">
        <w:rPr>
          <w:i/>
          <w:highlight w:val="yellow"/>
        </w:rPr>
        <w:t>We maintain a register detailing any benefit we receive which is valued at between $</w:t>
      </w:r>
      <w:r w:rsidR="00F45B3A">
        <w:rPr>
          <w:i/>
          <w:highlight w:val="yellow"/>
        </w:rPr>
        <w:t>[</w:t>
      </w:r>
      <w:r w:rsidRPr="00A02FCC">
        <w:rPr>
          <w:i/>
          <w:highlight w:val="yellow"/>
        </w:rPr>
        <w:t>XXX] and $300</w:t>
      </w:r>
      <w:r>
        <w:rPr>
          <w:i/>
          <w:highlight w:val="yellow"/>
        </w:rPr>
        <w:t>,</w:t>
      </w:r>
      <w:r w:rsidRPr="00A02FCC">
        <w:rPr>
          <w:i/>
          <w:highlight w:val="yellow"/>
        </w:rPr>
        <w:t xml:space="preserve"> and other benefits that relate to information technology</w:t>
      </w:r>
      <w:r>
        <w:rPr>
          <w:i/>
          <w:highlight w:val="yellow"/>
        </w:rPr>
        <w:t>,</w:t>
      </w:r>
      <w:r w:rsidRPr="00A02FCC">
        <w:rPr>
          <w:i/>
          <w:highlight w:val="yellow"/>
        </w:rPr>
        <w:t xml:space="preserve"> software or support provided by a product issuer</w:t>
      </w:r>
      <w:r>
        <w:rPr>
          <w:i/>
          <w:highlight w:val="yellow"/>
        </w:rPr>
        <w:t>,</w:t>
      </w:r>
      <w:r w:rsidRPr="00A02FCC">
        <w:rPr>
          <w:i/>
          <w:highlight w:val="yellow"/>
        </w:rPr>
        <w:t xml:space="preserve"> or that relate to educational and training purposes.  A copy of the register is available on request for a small charge.]</w:t>
      </w:r>
    </w:p>
    <w:p w14:paraId="2E18FE3A" w14:textId="77777777" w:rsidR="00723F1C" w:rsidRPr="002D674E" w:rsidRDefault="00723F1C" w:rsidP="00723F1C">
      <w:pPr>
        <w:pStyle w:val="HNDocsHeading2"/>
      </w:pPr>
      <w:bookmarkStart w:id="22" w:name="_Toc119402011"/>
      <w:bookmarkStart w:id="23" w:name="_Toc212618677"/>
      <w:r w:rsidRPr="002D674E">
        <w:t>What should you do if you have a complaint?</w:t>
      </w:r>
      <w:bookmarkEnd w:id="22"/>
      <w:bookmarkEnd w:id="23"/>
    </w:p>
    <w:p w14:paraId="0FDDB8C9" w14:textId="77777777" w:rsidR="00723F1C" w:rsidRDefault="00723F1C" w:rsidP="00723F1C">
      <w:pPr>
        <w:pStyle w:val="HNDocsBodyText"/>
      </w:pPr>
      <w:r>
        <w:t>If you have a complaint, you can contact us and discuss your complaint.</w:t>
      </w:r>
    </w:p>
    <w:p w14:paraId="4806B5F6" w14:textId="77777777" w:rsidR="00723F1C" w:rsidRDefault="00723F1C" w:rsidP="00723F1C">
      <w:pPr>
        <w:pStyle w:val="HNDocsBodyText"/>
      </w:pPr>
      <w:r>
        <w:t>Please contact the Complaints Manager of our Licensee using any of the contact details at the start of this FSG.  We will try and resolve your complaint quickly, fairly and within prescribed timeframes.</w:t>
      </w:r>
    </w:p>
    <w:p w14:paraId="447F6806" w14:textId="35296F4D" w:rsidR="00723F1C" w:rsidRDefault="00723F1C" w:rsidP="00723F1C">
      <w:pPr>
        <w:pStyle w:val="HNDocsBodyText"/>
      </w:pPr>
      <w:r>
        <w:t xml:space="preserve">If the complaint cannot be resolved to your satisfaction </w:t>
      </w:r>
      <w:r w:rsidRPr="00D769B3">
        <w:t xml:space="preserve">within </w:t>
      </w:r>
      <w:r w:rsidR="009072F9">
        <w:t xml:space="preserve">30 </w:t>
      </w:r>
      <w:r w:rsidRPr="00D769B3">
        <w:t>days,</w:t>
      </w:r>
      <w:r>
        <w:t xml:space="preserve"> you have the right to refer the matter to the Australian Financial Complaints Authority (AFCA).  AFCA provides fair and independent financial services complaint resolution that is free to consumers.</w:t>
      </w:r>
    </w:p>
    <w:p w14:paraId="66C676DC" w14:textId="77777777" w:rsidR="00723F1C" w:rsidRDefault="00723F1C" w:rsidP="00723F1C">
      <w:pPr>
        <w:pStyle w:val="HNDocsBodyText"/>
      </w:pPr>
      <w:r>
        <w:br/>
        <w:t xml:space="preserve">Website: </w:t>
      </w:r>
      <w:r>
        <w:tab/>
      </w:r>
      <w:hyperlink r:id="rId14" w:history="1">
        <w:r w:rsidRPr="00A02FCC">
          <w:rPr>
            <w:rStyle w:val="Hyperlink"/>
          </w:rPr>
          <w:t>www.afca.org.au</w:t>
        </w:r>
      </w:hyperlink>
      <w:r>
        <w:t xml:space="preserve"> </w:t>
      </w:r>
    </w:p>
    <w:p w14:paraId="66CAB71A" w14:textId="77777777" w:rsidR="00723F1C" w:rsidRDefault="00723F1C" w:rsidP="00723F1C">
      <w:pPr>
        <w:pStyle w:val="HNDocsBodyText"/>
      </w:pPr>
      <w:r>
        <w:t xml:space="preserve">Email: </w:t>
      </w:r>
      <w:r>
        <w:tab/>
      </w:r>
      <w:r>
        <w:tab/>
      </w:r>
      <w:hyperlink r:id="rId15" w:history="1">
        <w:r w:rsidRPr="00E06FFC">
          <w:rPr>
            <w:rStyle w:val="Hyperlink"/>
          </w:rPr>
          <w:t>info@afca.org.au</w:t>
        </w:r>
      </w:hyperlink>
      <w:r>
        <w:t xml:space="preserve"> </w:t>
      </w:r>
    </w:p>
    <w:p w14:paraId="09DF50D7" w14:textId="77777777" w:rsidR="00723F1C" w:rsidRDefault="00723F1C" w:rsidP="00723F1C">
      <w:pPr>
        <w:pStyle w:val="HNDocsBodyText"/>
      </w:pPr>
      <w:r>
        <w:t xml:space="preserve">Telephone: </w:t>
      </w:r>
      <w:r>
        <w:tab/>
        <w:t>1800 931 678 (free call)</w:t>
      </w:r>
    </w:p>
    <w:p w14:paraId="572D0D43" w14:textId="77777777" w:rsidR="00723F1C" w:rsidRDefault="00723F1C" w:rsidP="00723F1C">
      <w:pPr>
        <w:pStyle w:val="HNDocsBodyText"/>
      </w:pPr>
      <w:r>
        <w:t xml:space="preserve">In writing to: </w:t>
      </w:r>
      <w:r>
        <w:tab/>
        <w:t>Australian Financial Complaints Authority</w:t>
      </w:r>
    </w:p>
    <w:p w14:paraId="7662B647" w14:textId="77777777" w:rsidR="00723F1C" w:rsidRPr="00553E64" w:rsidRDefault="00723F1C" w:rsidP="00723F1C">
      <w:pPr>
        <w:pStyle w:val="HNDocsBodyText"/>
        <w:rPr>
          <w:highlight w:val="yellow"/>
          <w:lang w:val="fr-FR"/>
        </w:rPr>
      </w:pPr>
      <w:r>
        <w:t xml:space="preserve"> </w:t>
      </w:r>
      <w:r>
        <w:tab/>
      </w:r>
      <w:r>
        <w:tab/>
      </w:r>
      <w:r w:rsidRPr="00553E64">
        <w:rPr>
          <w:lang w:val="fr-FR"/>
        </w:rPr>
        <w:t>GPO Box 3, Melbourne VIC 3001</w:t>
      </w:r>
      <w:r w:rsidRPr="00553E64">
        <w:rPr>
          <w:highlight w:val="yellow"/>
          <w:lang w:val="fr-FR"/>
        </w:rPr>
        <w:t xml:space="preserve"> </w:t>
      </w:r>
    </w:p>
    <w:p w14:paraId="43F7B40F" w14:textId="77777777" w:rsidR="00723F1C" w:rsidRPr="00553E64" w:rsidRDefault="00723F1C" w:rsidP="00723F1C">
      <w:pPr>
        <w:pStyle w:val="HNDocsHeading2"/>
        <w:rPr>
          <w:lang w:val="fr-FR"/>
        </w:rPr>
      </w:pPr>
      <w:r w:rsidRPr="00553E64">
        <w:rPr>
          <w:lang w:val="fr-FR"/>
        </w:rPr>
        <w:t>Compensation arrangements</w:t>
      </w:r>
    </w:p>
    <w:p w14:paraId="10C37D71" w14:textId="77777777" w:rsidR="00723F1C" w:rsidRPr="003B7852" w:rsidRDefault="00723F1C" w:rsidP="00723F1C">
      <w:pPr>
        <w:pStyle w:val="HNDocsBodyText"/>
      </w:pPr>
      <w:r w:rsidRPr="003B7852">
        <w:t>We have arrangements in place to maintain adequate professional indemnity insurance as required by s912B of the</w:t>
      </w:r>
      <w:r>
        <w:t xml:space="preserve"> Act</w:t>
      </w:r>
      <w:r w:rsidRPr="003B7852">
        <w:t>.  This insurance provides cover for claims made against us and our representatives</w:t>
      </w:r>
      <w:r>
        <w:t>,</w:t>
      </w:r>
      <w:r w:rsidRPr="003B7852">
        <w:t xml:space="preserve"> including claims in relation to the conduct of representatives who no longer work for us but who did so at the time of the relevant conduct.</w:t>
      </w:r>
    </w:p>
    <w:p w14:paraId="36B0114C" w14:textId="6797859B" w:rsidR="00723F1C" w:rsidRDefault="00723F1C" w:rsidP="00723F1C">
      <w:pPr>
        <w:pStyle w:val="HNDocsBodyText"/>
      </w:pPr>
      <w:r w:rsidRPr="00194680">
        <w:rPr>
          <w:b/>
        </w:rPr>
        <w:t>Preparation date:</w:t>
      </w:r>
      <w:r>
        <w:t xml:space="preserve"> </w:t>
      </w:r>
      <w:r w:rsidRPr="00B47A1F">
        <w:rPr>
          <w:highlight w:val="yellow"/>
          <w:lang w:val="en-US"/>
        </w:rPr>
        <w:t>[insert date]</w:t>
      </w:r>
      <w:r>
        <w:rPr>
          <w:lang w:val="en-US"/>
        </w:rPr>
        <w:tab/>
      </w:r>
      <w:r>
        <w:rPr>
          <w:lang w:val="en-US"/>
        </w:rPr>
        <w:tab/>
      </w:r>
      <w:r>
        <w:rPr>
          <w:lang w:val="en-US"/>
        </w:rPr>
        <w:tab/>
      </w:r>
      <w:r>
        <w:rPr>
          <w:lang w:val="en-US"/>
        </w:rPr>
        <w:tab/>
      </w:r>
      <w:r>
        <w:rPr>
          <w:lang w:val="en-US"/>
        </w:rPr>
        <w:tab/>
      </w:r>
      <w:r>
        <w:rPr>
          <w:lang w:val="en-US"/>
        </w:rPr>
        <w:tab/>
      </w:r>
      <w:r>
        <w:rPr>
          <w:lang w:val="en-US"/>
        </w:rPr>
        <w:tab/>
      </w:r>
      <w:r w:rsidRPr="00194680">
        <w:rPr>
          <w:b/>
        </w:rPr>
        <w:t>Version:</w:t>
      </w:r>
      <w:r>
        <w:t xml:space="preserve"> </w:t>
      </w:r>
      <w:r w:rsidR="0014178D" w:rsidRPr="00844376">
        <w:rPr>
          <w:highlight w:val="yellow"/>
        </w:rPr>
        <w:t>[x]</w:t>
      </w:r>
    </w:p>
    <w:p w14:paraId="24A7D2BD" w14:textId="1507DB4D" w:rsidR="004F40D8" w:rsidRPr="00723F1C" w:rsidRDefault="004F40D8" w:rsidP="000361DC">
      <w:pPr>
        <w:pStyle w:val="HNDocsBodyText"/>
      </w:pPr>
    </w:p>
    <w:sectPr w:rsidR="004F40D8" w:rsidRPr="00723F1C" w:rsidSect="000361DC">
      <w:headerReference w:type="default" r:id="rId16"/>
      <w:footerReference w:type="default" r:id="rId17"/>
      <w:footerReference w:type="first" r:id="rId18"/>
      <w:pgSz w:w="11907" w:h="16840" w:code="9"/>
      <w:pgMar w:top="851" w:right="1134" w:bottom="851" w:left="1134" w:header="454" w:footer="4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2C3B" w14:textId="77777777" w:rsidR="00AF6A82" w:rsidRDefault="00AF6A82">
      <w:r>
        <w:separator/>
      </w:r>
    </w:p>
  </w:endnote>
  <w:endnote w:type="continuationSeparator" w:id="0">
    <w:p w14:paraId="524602E9" w14:textId="77777777" w:rsidR="00AF6A82" w:rsidRDefault="00AF6A82">
      <w:r>
        <w:continuationSeparator/>
      </w:r>
    </w:p>
  </w:endnote>
  <w:endnote w:type="continuationNotice" w:id="1">
    <w:p w14:paraId="5BFCF8D5" w14:textId="77777777" w:rsidR="00AF6A82" w:rsidRDefault="00AF6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970402"/>
      <w:docPartObj>
        <w:docPartGallery w:val="Page Numbers (Bottom of Page)"/>
        <w:docPartUnique/>
      </w:docPartObj>
    </w:sdtPr>
    <w:sdtEndPr>
      <w:rPr>
        <w:noProof/>
        <w:sz w:val="20"/>
      </w:rPr>
    </w:sdtEndPr>
    <w:sdtContent>
      <w:p w14:paraId="2D6F5518" w14:textId="2ABC606A" w:rsidR="000361DC" w:rsidRPr="000361DC" w:rsidRDefault="000361DC">
        <w:pPr>
          <w:pStyle w:val="Footer"/>
          <w:jc w:val="center"/>
          <w:rPr>
            <w:sz w:val="20"/>
          </w:rPr>
        </w:pPr>
        <w:r w:rsidRPr="000361DC">
          <w:rPr>
            <w:sz w:val="20"/>
          </w:rPr>
          <w:fldChar w:fldCharType="begin"/>
        </w:r>
        <w:r w:rsidRPr="000361DC">
          <w:rPr>
            <w:sz w:val="20"/>
          </w:rPr>
          <w:instrText xml:space="preserve"> PAGE   \* MERGEFORMAT </w:instrText>
        </w:r>
        <w:r w:rsidRPr="000361DC">
          <w:rPr>
            <w:sz w:val="20"/>
          </w:rPr>
          <w:fldChar w:fldCharType="separate"/>
        </w:r>
        <w:r w:rsidRPr="000361DC">
          <w:rPr>
            <w:noProof/>
            <w:sz w:val="20"/>
          </w:rPr>
          <w:t>2</w:t>
        </w:r>
        <w:r w:rsidRPr="000361DC">
          <w:rPr>
            <w:noProof/>
            <w:sz w:val="20"/>
          </w:rPr>
          <w:fldChar w:fldCharType="end"/>
        </w:r>
      </w:p>
    </w:sdtContent>
  </w:sdt>
  <w:p w14:paraId="3A15F894" w14:textId="77777777" w:rsidR="00FD3D24" w:rsidRDefault="00FD3D24">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4924"/>
      <w:docPartObj>
        <w:docPartGallery w:val="Page Numbers (Bottom of Page)"/>
        <w:docPartUnique/>
      </w:docPartObj>
    </w:sdtPr>
    <w:sdtEndPr>
      <w:rPr>
        <w:noProof/>
        <w:sz w:val="20"/>
      </w:rPr>
    </w:sdtEndPr>
    <w:sdtContent>
      <w:p w14:paraId="08A2533B" w14:textId="314A1D08" w:rsidR="000361DC" w:rsidRPr="000361DC" w:rsidRDefault="000361DC">
        <w:pPr>
          <w:pStyle w:val="Footer"/>
          <w:jc w:val="center"/>
          <w:rPr>
            <w:sz w:val="20"/>
          </w:rPr>
        </w:pPr>
        <w:r w:rsidRPr="000361DC">
          <w:rPr>
            <w:sz w:val="20"/>
          </w:rPr>
          <w:fldChar w:fldCharType="begin"/>
        </w:r>
        <w:r w:rsidRPr="000361DC">
          <w:rPr>
            <w:sz w:val="20"/>
          </w:rPr>
          <w:instrText xml:space="preserve"> PAGE   \* MERGEFORMAT </w:instrText>
        </w:r>
        <w:r w:rsidRPr="000361DC">
          <w:rPr>
            <w:sz w:val="20"/>
          </w:rPr>
          <w:fldChar w:fldCharType="separate"/>
        </w:r>
        <w:r w:rsidRPr="000361DC">
          <w:rPr>
            <w:noProof/>
            <w:sz w:val="20"/>
          </w:rPr>
          <w:t>2</w:t>
        </w:r>
        <w:r w:rsidRPr="000361DC">
          <w:rPr>
            <w:noProof/>
            <w:sz w:val="20"/>
          </w:rPr>
          <w:fldChar w:fldCharType="end"/>
        </w:r>
      </w:p>
    </w:sdtContent>
  </w:sdt>
  <w:p w14:paraId="1C49E521" w14:textId="3846A12F" w:rsidR="00FD3D24" w:rsidRDefault="00FD3D24" w:rsidP="00881D9D">
    <w:pPr>
      <w:tabs>
        <w:tab w:val="left" w:pos="14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745E" w14:textId="77777777" w:rsidR="00AF6A82" w:rsidRDefault="00AF6A82">
      <w:r>
        <w:separator/>
      </w:r>
    </w:p>
  </w:footnote>
  <w:footnote w:type="continuationSeparator" w:id="0">
    <w:p w14:paraId="71572845" w14:textId="77777777" w:rsidR="00AF6A82" w:rsidRDefault="00AF6A82">
      <w:r>
        <w:continuationSeparator/>
      </w:r>
    </w:p>
  </w:footnote>
  <w:footnote w:type="continuationNotice" w:id="1">
    <w:p w14:paraId="15CE7EB3" w14:textId="77777777" w:rsidR="00AF6A82" w:rsidRDefault="00AF6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65C8" w14:textId="77777777" w:rsidR="00FD3D24" w:rsidRDefault="00FD3D24">
    <w:pPr>
      <w:ind w:left="-567" w:firstLine="567"/>
    </w:pPr>
  </w:p>
  <w:p w14:paraId="0F418539" w14:textId="77777777" w:rsidR="00FD3D24" w:rsidRDefault="00FD3D24">
    <w:pPr>
      <w:ind w:left="-567" w:firstLine="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C4558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9189281" o:spid="_x0000_i1025" type="#_x0000_t75" style="width:19.5pt;height:19.5pt;visibility:visible;mso-wrap-style:square">
            <v:imagedata r:id="rId1" o:title=""/>
          </v:shape>
        </w:pict>
      </mc:Choice>
      <mc:Fallback>
        <w:drawing>
          <wp:inline distT="0" distB="0" distL="0" distR="0" wp14:anchorId="3120BD20">
            <wp:extent cx="247650" cy="247650"/>
            <wp:effectExtent l="0" t="0" r="0" b="0"/>
            <wp:docPr id="1819189281" name="Picture 181918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mc:Fallback>
    </mc:AlternateContent>
  </w:numPicBullet>
  <w:numPicBullet w:numPicBulletId="1">
    <mc:AlternateContent>
      <mc:Choice Requires="v">
        <w:pict>
          <v:shape w14:anchorId="79BAB9A9" id="Picture 1170336259" o:spid="_x0000_i1025" type="#_x0000_t75" style="width:13.5pt;height:13.5pt;visibility:visible;mso-wrap-style:square">
            <v:imagedata r:id="rId3" o:title=""/>
          </v:shape>
        </w:pict>
      </mc:Choice>
      <mc:Fallback>
        <w:drawing>
          <wp:inline distT="0" distB="0" distL="0" distR="0" wp14:anchorId="158C99EA">
            <wp:extent cx="171450" cy="171450"/>
            <wp:effectExtent l="0" t="0" r="0" b="0"/>
            <wp:docPr id="1170336259" name="Picture 117033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mc:Fallback>
    </mc:AlternateContent>
  </w:numPicBullet>
  <w:numPicBullet w:numPicBulletId="2">
    <mc:AlternateContent>
      <mc:Choice Requires="v">
        <w:pict>
          <v:shape w14:anchorId="72A2F884" id="Picture 1953772235" o:spid="_x0000_i1025" type="#_x0000_t75" style="width:13.5pt;height:13.5pt;visibility:visible;mso-wrap-style:square">
            <v:imagedata r:id="rId5" o:title=""/>
          </v:shape>
        </w:pict>
      </mc:Choice>
      <mc:Fallback>
        <w:drawing>
          <wp:inline distT="0" distB="0" distL="0" distR="0" wp14:anchorId="59D92999">
            <wp:extent cx="171450" cy="171450"/>
            <wp:effectExtent l="0" t="0" r="0" b="0"/>
            <wp:docPr id="1953772235" name="Picture 1953772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mc:Fallback>
    </mc:AlternateContent>
  </w:numPicBullet>
  <w:abstractNum w:abstractNumId="0" w15:restartNumberingAfterBreak="0">
    <w:nsid w:val="009C1C43"/>
    <w:multiLevelType w:val="hybridMultilevel"/>
    <w:tmpl w:val="6EB4888E"/>
    <w:lvl w:ilvl="0" w:tplc="2FF40F2E">
      <w:start w:val="1"/>
      <w:numFmt w:val="bullet"/>
      <w:pStyle w:val="HNDocsBulle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50272"/>
    <w:multiLevelType w:val="hybridMultilevel"/>
    <w:tmpl w:val="1CB6DE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A33A26"/>
    <w:multiLevelType w:val="hybridMultilevel"/>
    <w:tmpl w:val="EACAC6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B642699"/>
    <w:multiLevelType w:val="hybridMultilevel"/>
    <w:tmpl w:val="207EE354"/>
    <w:lvl w:ilvl="0" w:tplc="AA12E2DA">
      <w:start w:val="1"/>
      <w:numFmt w:val="bullet"/>
      <w:pStyle w:val="SupportPolicy"/>
      <w:lvlText w:val=""/>
      <w:lvlPicBulletId w:val="1"/>
      <w:lvlJc w:val="left"/>
      <w:pPr>
        <w:ind w:left="-360" w:hanging="360"/>
      </w:pPr>
      <w:rPr>
        <w:rFonts w:ascii="Symbol" w:hAnsi="Symbol" w:hint="default"/>
        <w:b w:val="0"/>
        <w:i w:val="0"/>
        <w:color w:val="auto"/>
        <w:position w:val="0"/>
        <w:sz w:val="40"/>
        <w:szCs w:val="40"/>
      </w:rPr>
    </w:lvl>
    <w:lvl w:ilvl="1" w:tplc="72FED76A" w:tentative="1">
      <w:start w:val="1"/>
      <w:numFmt w:val="bullet"/>
      <w:lvlText w:val="o"/>
      <w:lvlJc w:val="left"/>
      <w:pPr>
        <w:ind w:left="10080" w:hanging="360"/>
      </w:pPr>
      <w:rPr>
        <w:rFonts w:ascii="Courier New" w:hAnsi="Courier New" w:cs="Courier New" w:hint="default"/>
      </w:rPr>
    </w:lvl>
    <w:lvl w:ilvl="2" w:tplc="8124B718" w:tentative="1">
      <w:start w:val="1"/>
      <w:numFmt w:val="bullet"/>
      <w:lvlText w:val=""/>
      <w:lvlJc w:val="left"/>
      <w:pPr>
        <w:ind w:left="10800" w:hanging="360"/>
      </w:pPr>
      <w:rPr>
        <w:rFonts w:ascii="Wingdings" w:hAnsi="Wingdings" w:hint="default"/>
      </w:rPr>
    </w:lvl>
    <w:lvl w:ilvl="3" w:tplc="86CE26B8" w:tentative="1">
      <w:start w:val="1"/>
      <w:numFmt w:val="bullet"/>
      <w:lvlText w:val=""/>
      <w:lvlJc w:val="left"/>
      <w:pPr>
        <w:ind w:left="11520" w:hanging="360"/>
      </w:pPr>
      <w:rPr>
        <w:rFonts w:ascii="Symbol" w:hAnsi="Symbol" w:hint="default"/>
      </w:rPr>
    </w:lvl>
    <w:lvl w:ilvl="4" w:tplc="B39E284E" w:tentative="1">
      <w:start w:val="1"/>
      <w:numFmt w:val="bullet"/>
      <w:lvlText w:val="o"/>
      <w:lvlJc w:val="left"/>
      <w:pPr>
        <w:ind w:left="12240" w:hanging="360"/>
      </w:pPr>
      <w:rPr>
        <w:rFonts w:ascii="Courier New" w:hAnsi="Courier New" w:cs="Courier New" w:hint="default"/>
      </w:rPr>
    </w:lvl>
    <w:lvl w:ilvl="5" w:tplc="A3BA9E60" w:tentative="1">
      <w:start w:val="1"/>
      <w:numFmt w:val="bullet"/>
      <w:lvlText w:val=""/>
      <w:lvlJc w:val="left"/>
      <w:pPr>
        <w:ind w:left="12960" w:hanging="360"/>
      </w:pPr>
      <w:rPr>
        <w:rFonts w:ascii="Wingdings" w:hAnsi="Wingdings" w:hint="default"/>
      </w:rPr>
    </w:lvl>
    <w:lvl w:ilvl="6" w:tplc="694A9948" w:tentative="1">
      <w:start w:val="1"/>
      <w:numFmt w:val="bullet"/>
      <w:lvlText w:val=""/>
      <w:lvlJc w:val="left"/>
      <w:pPr>
        <w:ind w:left="13680" w:hanging="360"/>
      </w:pPr>
      <w:rPr>
        <w:rFonts w:ascii="Symbol" w:hAnsi="Symbol" w:hint="default"/>
      </w:rPr>
    </w:lvl>
    <w:lvl w:ilvl="7" w:tplc="CF86CDFE" w:tentative="1">
      <w:start w:val="1"/>
      <w:numFmt w:val="bullet"/>
      <w:lvlText w:val="o"/>
      <w:lvlJc w:val="left"/>
      <w:pPr>
        <w:ind w:left="14400" w:hanging="360"/>
      </w:pPr>
      <w:rPr>
        <w:rFonts w:ascii="Courier New" w:hAnsi="Courier New" w:cs="Courier New" w:hint="default"/>
      </w:rPr>
    </w:lvl>
    <w:lvl w:ilvl="8" w:tplc="2F6808FA" w:tentative="1">
      <w:start w:val="1"/>
      <w:numFmt w:val="bullet"/>
      <w:lvlText w:val=""/>
      <w:lvlJc w:val="left"/>
      <w:pPr>
        <w:ind w:left="15120" w:hanging="360"/>
      </w:pPr>
      <w:rPr>
        <w:rFonts w:ascii="Wingdings" w:hAnsi="Wingdings" w:hint="default"/>
      </w:rPr>
    </w:lvl>
  </w:abstractNum>
  <w:abstractNum w:abstractNumId="4" w15:restartNumberingAfterBreak="0">
    <w:nsid w:val="103D3887"/>
    <w:multiLevelType w:val="hybridMultilevel"/>
    <w:tmpl w:val="B058A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A31E7"/>
    <w:multiLevelType w:val="hybridMultilevel"/>
    <w:tmpl w:val="E370FF66"/>
    <w:lvl w:ilvl="0" w:tplc="AAE48D4C">
      <w:start w:val="1"/>
      <w:numFmt w:val="bullet"/>
      <w:pStyle w:val="KeyPolicy"/>
      <w:lvlText w:val=""/>
      <w:lvlPicBulletId w:val="0"/>
      <w:lvlJc w:val="left"/>
      <w:pPr>
        <w:ind w:left="-360" w:hanging="360"/>
      </w:pPr>
      <w:rPr>
        <w:rFonts w:ascii="Symbol" w:hAnsi="Symbol" w:hint="default"/>
        <w:color w:val="auto"/>
        <w:sz w:val="44"/>
      </w:rPr>
    </w:lvl>
    <w:lvl w:ilvl="1" w:tplc="25E8A9E8">
      <w:start w:val="1"/>
      <w:numFmt w:val="bullet"/>
      <w:lvlText w:val="o"/>
      <w:lvlJc w:val="left"/>
      <w:pPr>
        <w:ind w:left="1440" w:hanging="360"/>
      </w:pPr>
      <w:rPr>
        <w:rFonts w:ascii="Courier New" w:hAnsi="Courier New" w:cs="Courier New" w:hint="default"/>
      </w:rPr>
    </w:lvl>
    <w:lvl w:ilvl="2" w:tplc="BBFC6666" w:tentative="1">
      <w:start w:val="1"/>
      <w:numFmt w:val="bullet"/>
      <w:lvlText w:val=""/>
      <w:lvlJc w:val="left"/>
      <w:pPr>
        <w:ind w:left="2160" w:hanging="360"/>
      </w:pPr>
      <w:rPr>
        <w:rFonts w:ascii="Wingdings" w:hAnsi="Wingdings" w:hint="default"/>
      </w:rPr>
    </w:lvl>
    <w:lvl w:ilvl="3" w:tplc="AEA45EBA" w:tentative="1">
      <w:start w:val="1"/>
      <w:numFmt w:val="bullet"/>
      <w:lvlText w:val=""/>
      <w:lvlJc w:val="left"/>
      <w:pPr>
        <w:ind w:left="2880" w:hanging="360"/>
      </w:pPr>
      <w:rPr>
        <w:rFonts w:ascii="Symbol" w:hAnsi="Symbol" w:hint="default"/>
      </w:rPr>
    </w:lvl>
    <w:lvl w:ilvl="4" w:tplc="60C860C4" w:tentative="1">
      <w:start w:val="1"/>
      <w:numFmt w:val="bullet"/>
      <w:lvlText w:val="o"/>
      <w:lvlJc w:val="left"/>
      <w:pPr>
        <w:ind w:left="3600" w:hanging="360"/>
      </w:pPr>
      <w:rPr>
        <w:rFonts w:ascii="Courier New" w:hAnsi="Courier New" w:cs="Courier New" w:hint="default"/>
      </w:rPr>
    </w:lvl>
    <w:lvl w:ilvl="5" w:tplc="A8567CC8" w:tentative="1">
      <w:start w:val="1"/>
      <w:numFmt w:val="bullet"/>
      <w:lvlText w:val=""/>
      <w:lvlJc w:val="left"/>
      <w:pPr>
        <w:ind w:left="4320" w:hanging="360"/>
      </w:pPr>
      <w:rPr>
        <w:rFonts w:ascii="Wingdings" w:hAnsi="Wingdings" w:hint="default"/>
      </w:rPr>
    </w:lvl>
    <w:lvl w:ilvl="6" w:tplc="AC40AA0E" w:tentative="1">
      <w:start w:val="1"/>
      <w:numFmt w:val="bullet"/>
      <w:lvlText w:val=""/>
      <w:lvlJc w:val="left"/>
      <w:pPr>
        <w:ind w:left="5040" w:hanging="360"/>
      </w:pPr>
      <w:rPr>
        <w:rFonts w:ascii="Symbol" w:hAnsi="Symbol" w:hint="default"/>
      </w:rPr>
    </w:lvl>
    <w:lvl w:ilvl="7" w:tplc="4CE8DB60" w:tentative="1">
      <w:start w:val="1"/>
      <w:numFmt w:val="bullet"/>
      <w:lvlText w:val="o"/>
      <w:lvlJc w:val="left"/>
      <w:pPr>
        <w:ind w:left="5760" w:hanging="360"/>
      </w:pPr>
      <w:rPr>
        <w:rFonts w:ascii="Courier New" w:hAnsi="Courier New" w:cs="Courier New" w:hint="default"/>
      </w:rPr>
    </w:lvl>
    <w:lvl w:ilvl="8" w:tplc="8250BEF0" w:tentative="1">
      <w:start w:val="1"/>
      <w:numFmt w:val="bullet"/>
      <w:lvlText w:val=""/>
      <w:lvlJc w:val="left"/>
      <w:pPr>
        <w:ind w:left="6480" w:hanging="360"/>
      </w:pPr>
      <w:rPr>
        <w:rFonts w:ascii="Wingdings" w:hAnsi="Wingdings" w:hint="default"/>
      </w:rPr>
    </w:lvl>
  </w:abstractNum>
  <w:abstractNum w:abstractNumId="6" w15:restartNumberingAfterBreak="0">
    <w:nsid w:val="15E53935"/>
    <w:multiLevelType w:val="hybridMultilevel"/>
    <w:tmpl w:val="AEBE5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5236A6"/>
    <w:multiLevelType w:val="hybridMultilevel"/>
    <w:tmpl w:val="892AA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F54959"/>
    <w:multiLevelType w:val="hybridMultilevel"/>
    <w:tmpl w:val="2868975A"/>
    <w:lvl w:ilvl="0" w:tplc="1778C0A6">
      <w:start w:val="3"/>
      <w:numFmt w:val="decimal"/>
      <w:lvlText w:val="%1."/>
      <w:lvlJc w:val="left"/>
      <w:pPr>
        <w:ind w:left="-535"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C6515D"/>
    <w:multiLevelType w:val="hybridMultilevel"/>
    <w:tmpl w:val="3AEA9ABC"/>
    <w:lvl w:ilvl="0" w:tplc="3CB8A7A0">
      <w:numFmt w:val="bullet"/>
      <w:lvlText w:val=""/>
      <w:lvlJc w:val="left"/>
      <w:pPr>
        <w:ind w:left="502" w:hanging="360"/>
      </w:pPr>
      <w:rPr>
        <w:rFonts w:ascii="Symbol" w:eastAsia="Calibri" w:hAnsi="Symbol" w:cs="Times New Roman"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10" w15:restartNumberingAfterBreak="0">
    <w:nsid w:val="24F44F06"/>
    <w:multiLevelType w:val="hybridMultilevel"/>
    <w:tmpl w:val="65D2C878"/>
    <w:lvl w:ilvl="0" w:tplc="2330293C">
      <w:start w:val="8"/>
      <w:numFmt w:val="decimal"/>
      <w:lvlText w:val="%1."/>
      <w:lvlJc w:val="left"/>
      <w:pPr>
        <w:tabs>
          <w:tab w:val="num" w:pos="1185"/>
        </w:tabs>
        <w:ind w:left="1185" w:hanging="46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2555724D"/>
    <w:multiLevelType w:val="hybridMultilevel"/>
    <w:tmpl w:val="83328A4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DC7417"/>
    <w:multiLevelType w:val="singleLevel"/>
    <w:tmpl w:val="04090019"/>
    <w:lvl w:ilvl="0">
      <w:start w:val="1"/>
      <w:numFmt w:val="lowerLetter"/>
      <w:lvlText w:val="%1."/>
      <w:lvlJc w:val="left"/>
      <w:pPr>
        <w:tabs>
          <w:tab w:val="num" w:pos="1440"/>
        </w:tabs>
        <w:ind w:left="1440" w:hanging="360"/>
      </w:pPr>
    </w:lvl>
  </w:abstractNum>
  <w:abstractNum w:abstractNumId="13" w15:restartNumberingAfterBreak="0">
    <w:nsid w:val="324F4131"/>
    <w:multiLevelType w:val="singleLevel"/>
    <w:tmpl w:val="87CAD140"/>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14" w15:restartNumberingAfterBreak="0">
    <w:nsid w:val="3863624B"/>
    <w:multiLevelType w:val="hybridMultilevel"/>
    <w:tmpl w:val="C088C366"/>
    <w:lvl w:ilvl="0" w:tplc="C21AD3C6">
      <w:start w:val="1"/>
      <w:numFmt w:val="bullet"/>
      <w:pStyle w:val="Tools"/>
      <w:lvlText w:val=""/>
      <w:lvlPicBulletId w:val="2"/>
      <w:lvlJc w:val="left"/>
      <w:pPr>
        <w:ind w:left="-360" w:hanging="360"/>
      </w:pPr>
      <w:rPr>
        <w:rFonts w:ascii="Symbol" w:hAnsi="Symbol" w:hint="default"/>
        <w:color w:val="auto"/>
        <w:sz w:val="40"/>
        <w:szCs w:val="40"/>
      </w:rPr>
    </w:lvl>
    <w:lvl w:ilvl="1" w:tplc="002E54B8" w:tentative="1">
      <w:start w:val="1"/>
      <w:numFmt w:val="bullet"/>
      <w:lvlText w:val="o"/>
      <w:lvlJc w:val="left"/>
      <w:pPr>
        <w:ind w:left="1440" w:hanging="360"/>
      </w:pPr>
      <w:rPr>
        <w:rFonts w:ascii="Courier New" w:hAnsi="Courier New" w:cs="Courier New" w:hint="default"/>
      </w:rPr>
    </w:lvl>
    <w:lvl w:ilvl="2" w:tplc="7F3ECC36" w:tentative="1">
      <w:start w:val="1"/>
      <w:numFmt w:val="bullet"/>
      <w:lvlText w:val=""/>
      <w:lvlJc w:val="left"/>
      <w:pPr>
        <w:ind w:left="2160" w:hanging="360"/>
      </w:pPr>
      <w:rPr>
        <w:rFonts w:ascii="Wingdings" w:hAnsi="Wingdings" w:hint="default"/>
      </w:rPr>
    </w:lvl>
    <w:lvl w:ilvl="3" w:tplc="B9E64D2C" w:tentative="1">
      <w:start w:val="1"/>
      <w:numFmt w:val="bullet"/>
      <w:lvlText w:val=""/>
      <w:lvlJc w:val="left"/>
      <w:pPr>
        <w:ind w:left="2880" w:hanging="360"/>
      </w:pPr>
      <w:rPr>
        <w:rFonts w:ascii="Symbol" w:hAnsi="Symbol" w:hint="default"/>
      </w:rPr>
    </w:lvl>
    <w:lvl w:ilvl="4" w:tplc="F354753A" w:tentative="1">
      <w:start w:val="1"/>
      <w:numFmt w:val="bullet"/>
      <w:lvlText w:val="o"/>
      <w:lvlJc w:val="left"/>
      <w:pPr>
        <w:ind w:left="3600" w:hanging="360"/>
      </w:pPr>
      <w:rPr>
        <w:rFonts w:ascii="Courier New" w:hAnsi="Courier New" w:cs="Courier New" w:hint="default"/>
      </w:rPr>
    </w:lvl>
    <w:lvl w:ilvl="5" w:tplc="BCFC7ECC" w:tentative="1">
      <w:start w:val="1"/>
      <w:numFmt w:val="bullet"/>
      <w:lvlText w:val=""/>
      <w:lvlJc w:val="left"/>
      <w:pPr>
        <w:ind w:left="4320" w:hanging="360"/>
      </w:pPr>
      <w:rPr>
        <w:rFonts w:ascii="Wingdings" w:hAnsi="Wingdings" w:hint="default"/>
      </w:rPr>
    </w:lvl>
    <w:lvl w:ilvl="6" w:tplc="FB4C459C" w:tentative="1">
      <w:start w:val="1"/>
      <w:numFmt w:val="bullet"/>
      <w:lvlText w:val=""/>
      <w:lvlJc w:val="left"/>
      <w:pPr>
        <w:ind w:left="5040" w:hanging="360"/>
      </w:pPr>
      <w:rPr>
        <w:rFonts w:ascii="Symbol" w:hAnsi="Symbol" w:hint="default"/>
      </w:rPr>
    </w:lvl>
    <w:lvl w:ilvl="7" w:tplc="F2FE94C2" w:tentative="1">
      <w:start w:val="1"/>
      <w:numFmt w:val="bullet"/>
      <w:lvlText w:val="o"/>
      <w:lvlJc w:val="left"/>
      <w:pPr>
        <w:ind w:left="5760" w:hanging="360"/>
      </w:pPr>
      <w:rPr>
        <w:rFonts w:ascii="Courier New" w:hAnsi="Courier New" w:cs="Courier New" w:hint="default"/>
      </w:rPr>
    </w:lvl>
    <w:lvl w:ilvl="8" w:tplc="7D7A51AA" w:tentative="1">
      <w:start w:val="1"/>
      <w:numFmt w:val="bullet"/>
      <w:lvlText w:val=""/>
      <w:lvlJc w:val="left"/>
      <w:pPr>
        <w:ind w:left="6480" w:hanging="360"/>
      </w:pPr>
      <w:rPr>
        <w:rFonts w:ascii="Wingdings" w:hAnsi="Wingdings" w:hint="default"/>
      </w:rPr>
    </w:lvl>
  </w:abstractNum>
  <w:abstractNum w:abstractNumId="15" w15:restartNumberingAfterBreak="0">
    <w:nsid w:val="3A3B2B21"/>
    <w:multiLevelType w:val="hybridMultilevel"/>
    <w:tmpl w:val="8F6A56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4D26064"/>
    <w:multiLevelType w:val="hybridMultilevel"/>
    <w:tmpl w:val="7B12F0A6"/>
    <w:lvl w:ilvl="0" w:tplc="D44643A8">
      <w:start w:val="1"/>
      <w:numFmt w:val="decimal"/>
      <w:lvlText w:val="%1."/>
      <w:lvlJc w:val="left"/>
      <w:pPr>
        <w:ind w:left="502" w:hanging="360"/>
      </w:pPr>
      <w:rPr>
        <w:rFonts w:ascii="Tahoma" w:hAnsi="Tahoma" w:cs="Tahoma"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17" w15:restartNumberingAfterBreak="0">
    <w:nsid w:val="45272D92"/>
    <w:multiLevelType w:val="hybridMultilevel"/>
    <w:tmpl w:val="C9E4AA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B70D8D"/>
    <w:multiLevelType w:val="hybridMultilevel"/>
    <w:tmpl w:val="3B64C9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2D1932"/>
    <w:multiLevelType w:val="hybridMultilevel"/>
    <w:tmpl w:val="98965810"/>
    <w:lvl w:ilvl="0" w:tplc="0DEC6782">
      <w:start w:val="1"/>
      <w:numFmt w:val="bullet"/>
      <w:lvlText w:val=""/>
      <w:lvlJc w:val="left"/>
      <w:pPr>
        <w:ind w:left="360" w:hanging="360"/>
      </w:pPr>
      <w:rPr>
        <w:rFonts w:ascii="Symbol" w:hAnsi="Symbol" w:hint="default"/>
      </w:rPr>
    </w:lvl>
    <w:lvl w:ilvl="1" w:tplc="4BEE7566" w:tentative="1">
      <w:start w:val="1"/>
      <w:numFmt w:val="bullet"/>
      <w:lvlText w:val="o"/>
      <w:lvlJc w:val="left"/>
      <w:pPr>
        <w:ind w:left="1080" w:hanging="360"/>
      </w:pPr>
      <w:rPr>
        <w:rFonts w:ascii="Courier New" w:hAnsi="Courier New" w:cs="Courier New" w:hint="default"/>
      </w:rPr>
    </w:lvl>
    <w:lvl w:ilvl="2" w:tplc="6ED07D1A" w:tentative="1">
      <w:start w:val="1"/>
      <w:numFmt w:val="bullet"/>
      <w:lvlText w:val=""/>
      <w:lvlJc w:val="left"/>
      <w:pPr>
        <w:ind w:left="1800" w:hanging="360"/>
      </w:pPr>
      <w:rPr>
        <w:rFonts w:ascii="Wingdings" w:hAnsi="Wingdings" w:hint="default"/>
      </w:rPr>
    </w:lvl>
    <w:lvl w:ilvl="3" w:tplc="BFD83F40" w:tentative="1">
      <w:start w:val="1"/>
      <w:numFmt w:val="bullet"/>
      <w:lvlText w:val=""/>
      <w:lvlJc w:val="left"/>
      <w:pPr>
        <w:ind w:left="2520" w:hanging="360"/>
      </w:pPr>
      <w:rPr>
        <w:rFonts w:ascii="Symbol" w:hAnsi="Symbol" w:hint="default"/>
      </w:rPr>
    </w:lvl>
    <w:lvl w:ilvl="4" w:tplc="D28E249E" w:tentative="1">
      <w:start w:val="1"/>
      <w:numFmt w:val="bullet"/>
      <w:lvlText w:val="o"/>
      <w:lvlJc w:val="left"/>
      <w:pPr>
        <w:ind w:left="3240" w:hanging="360"/>
      </w:pPr>
      <w:rPr>
        <w:rFonts w:ascii="Courier New" w:hAnsi="Courier New" w:cs="Courier New" w:hint="default"/>
      </w:rPr>
    </w:lvl>
    <w:lvl w:ilvl="5" w:tplc="26AAC7B2" w:tentative="1">
      <w:start w:val="1"/>
      <w:numFmt w:val="bullet"/>
      <w:lvlText w:val=""/>
      <w:lvlJc w:val="left"/>
      <w:pPr>
        <w:ind w:left="3960" w:hanging="360"/>
      </w:pPr>
      <w:rPr>
        <w:rFonts w:ascii="Wingdings" w:hAnsi="Wingdings" w:hint="default"/>
      </w:rPr>
    </w:lvl>
    <w:lvl w:ilvl="6" w:tplc="96B8801A" w:tentative="1">
      <w:start w:val="1"/>
      <w:numFmt w:val="bullet"/>
      <w:lvlText w:val=""/>
      <w:lvlJc w:val="left"/>
      <w:pPr>
        <w:ind w:left="4680" w:hanging="360"/>
      </w:pPr>
      <w:rPr>
        <w:rFonts w:ascii="Symbol" w:hAnsi="Symbol" w:hint="default"/>
      </w:rPr>
    </w:lvl>
    <w:lvl w:ilvl="7" w:tplc="FFBA339A" w:tentative="1">
      <w:start w:val="1"/>
      <w:numFmt w:val="bullet"/>
      <w:lvlText w:val="o"/>
      <w:lvlJc w:val="left"/>
      <w:pPr>
        <w:ind w:left="5400" w:hanging="360"/>
      </w:pPr>
      <w:rPr>
        <w:rFonts w:ascii="Courier New" w:hAnsi="Courier New" w:cs="Courier New" w:hint="default"/>
      </w:rPr>
    </w:lvl>
    <w:lvl w:ilvl="8" w:tplc="2A009AA8" w:tentative="1">
      <w:start w:val="1"/>
      <w:numFmt w:val="bullet"/>
      <w:lvlText w:val=""/>
      <w:lvlJc w:val="left"/>
      <w:pPr>
        <w:ind w:left="6120" w:hanging="360"/>
      </w:pPr>
      <w:rPr>
        <w:rFonts w:ascii="Wingdings" w:hAnsi="Wingdings" w:hint="default"/>
      </w:rPr>
    </w:lvl>
  </w:abstractNum>
  <w:abstractNum w:abstractNumId="20" w15:restartNumberingAfterBreak="0">
    <w:nsid w:val="4BCC13F8"/>
    <w:multiLevelType w:val="hybridMultilevel"/>
    <w:tmpl w:val="D6AE75FE"/>
    <w:lvl w:ilvl="0" w:tplc="0C09000F">
      <w:start w:val="1"/>
      <w:numFmt w:val="decimal"/>
      <w:lvlText w:val="%1."/>
      <w:lvlJc w:val="left"/>
      <w:pPr>
        <w:ind w:left="-535" w:hanging="360"/>
      </w:pPr>
      <w:rPr>
        <w:rFonts w:hint="default"/>
        <w:b w:val="0"/>
      </w:rPr>
    </w:lvl>
    <w:lvl w:ilvl="1" w:tplc="0C090003">
      <w:start w:val="1"/>
      <w:numFmt w:val="bullet"/>
      <w:lvlText w:val="o"/>
      <w:lvlJc w:val="left"/>
      <w:pPr>
        <w:ind w:left="185" w:hanging="360"/>
      </w:pPr>
      <w:rPr>
        <w:rFonts w:ascii="Courier New" w:hAnsi="Courier New" w:cs="Courier New" w:hint="default"/>
      </w:rPr>
    </w:lvl>
    <w:lvl w:ilvl="2" w:tplc="0C090005">
      <w:start w:val="1"/>
      <w:numFmt w:val="bullet"/>
      <w:lvlText w:val=""/>
      <w:lvlJc w:val="left"/>
      <w:pPr>
        <w:ind w:left="905" w:hanging="360"/>
      </w:pPr>
      <w:rPr>
        <w:rFonts w:ascii="Wingdings" w:hAnsi="Wingdings" w:hint="default"/>
      </w:rPr>
    </w:lvl>
    <w:lvl w:ilvl="3" w:tplc="0C090001">
      <w:start w:val="1"/>
      <w:numFmt w:val="bullet"/>
      <w:lvlText w:val=""/>
      <w:lvlJc w:val="left"/>
      <w:pPr>
        <w:ind w:left="1625" w:hanging="360"/>
      </w:pPr>
      <w:rPr>
        <w:rFonts w:ascii="Symbol" w:hAnsi="Symbol" w:hint="default"/>
      </w:rPr>
    </w:lvl>
    <w:lvl w:ilvl="4" w:tplc="0C090003">
      <w:start w:val="1"/>
      <w:numFmt w:val="bullet"/>
      <w:lvlText w:val="o"/>
      <w:lvlJc w:val="left"/>
      <w:pPr>
        <w:ind w:left="2345" w:hanging="360"/>
      </w:pPr>
      <w:rPr>
        <w:rFonts w:ascii="Courier New" w:hAnsi="Courier New" w:cs="Courier New" w:hint="default"/>
      </w:rPr>
    </w:lvl>
    <w:lvl w:ilvl="5" w:tplc="0C090005">
      <w:start w:val="1"/>
      <w:numFmt w:val="bullet"/>
      <w:lvlText w:val=""/>
      <w:lvlJc w:val="left"/>
      <w:pPr>
        <w:ind w:left="3065" w:hanging="360"/>
      </w:pPr>
      <w:rPr>
        <w:rFonts w:ascii="Wingdings" w:hAnsi="Wingdings" w:hint="default"/>
      </w:rPr>
    </w:lvl>
    <w:lvl w:ilvl="6" w:tplc="0C090001">
      <w:start w:val="1"/>
      <w:numFmt w:val="bullet"/>
      <w:lvlText w:val=""/>
      <w:lvlJc w:val="left"/>
      <w:pPr>
        <w:ind w:left="3785" w:hanging="360"/>
      </w:pPr>
      <w:rPr>
        <w:rFonts w:ascii="Symbol" w:hAnsi="Symbol" w:hint="default"/>
      </w:rPr>
    </w:lvl>
    <w:lvl w:ilvl="7" w:tplc="0C090003">
      <w:start w:val="1"/>
      <w:numFmt w:val="bullet"/>
      <w:lvlText w:val="o"/>
      <w:lvlJc w:val="left"/>
      <w:pPr>
        <w:ind w:left="4505" w:hanging="360"/>
      </w:pPr>
      <w:rPr>
        <w:rFonts w:ascii="Courier New" w:hAnsi="Courier New" w:cs="Courier New" w:hint="default"/>
      </w:rPr>
    </w:lvl>
    <w:lvl w:ilvl="8" w:tplc="0C090005">
      <w:start w:val="1"/>
      <w:numFmt w:val="bullet"/>
      <w:lvlText w:val=""/>
      <w:lvlJc w:val="left"/>
      <w:pPr>
        <w:ind w:left="5225" w:hanging="360"/>
      </w:pPr>
      <w:rPr>
        <w:rFonts w:ascii="Wingdings" w:hAnsi="Wingdings" w:hint="default"/>
      </w:rPr>
    </w:lvl>
  </w:abstractNum>
  <w:abstractNum w:abstractNumId="21" w15:restartNumberingAfterBreak="0">
    <w:nsid w:val="4CE95573"/>
    <w:multiLevelType w:val="hybridMultilevel"/>
    <w:tmpl w:val="441A0CCA"/>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1C69FE"/>
    <w:multiLevelType w:val="hybridMultilevel"/>
    <w:tmpl w:val="EE7CAF7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25E28C6"/>
    <w:multiLevelType w:val="hybridMultilevel"/>
    <w:tmpl w:val="C2C0E8CA"/>
    <w:lvl w:ilvl="0" w:tplc="DB803E2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4A74D8"/>
    <w:multiLevelType w:val="hybridMultilevel"/>
    <w:tmpl w:val="90CC5D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F5F79D0"/>
    <w:multiLevelType w:val="hybridMultilevel"/>
    <w:tmpl w:val="CF848A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0C93ADB"/>
    <w:multiLevelType w:val="hybridMultilevel"/>
    <w:tmpl w:val="27869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68135E41"/>
    <w:multiLevelType w:val="hybridMultilevel"/>
    <w:tmpl w:val="5C9E97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7F2945"/>
    <w:multiLevelType w:val="hybridMultilevel"/>
    <w:tmpl w:val="11D691E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6F927C25"/>
    <w:multiLevelType w:val="hybridMultilevel"/>
    <w:tmpl w:val="DF86DBD6"/>
    <w:lvl w:ilvl="0" w:tplc="0C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5545D03"/>
    <w:multiLevelType w:val="hybridMultilevel"/>
    <w:tmpl w:val="05FCD8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781D30DD"/>
    <w:multiLevelType w:val="hybridMultilevel"/>
    <w:tmpl w:val="FE2685C2"/>
    <w:lvl w:ilvl="0" w:tplc="B81A76B8">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565067285">
    <w:abstractNumId w:val="13"/>
  </w:num>
  <w:num w:numId="2" w16cid:durableId="1988506541">
    <w:abstractNumId w:val="12"/>
  </w:num>
  <w:num w:numId="3" w16cid:durableId="511535355">
    <w:abstractNumId w:val="31"/>
  </w:num>
  <w:num w:numId="4" w16cid:durableId="1495342202">
    <w:abstractNumId w:val="10"/>
  </w:num>
  <w:num w:numId="5" w16cid:durableId="309672390">
    <w:abstractNumId w:val="2"/>
  </w:num>
  <w:num w:numId="6" w16cid:durableId="2128305254">
    <w:abstractNumId w:val="28"/>
  </w:num>
  <w:num w:numId="7" w16cid:durableId="1112433122">
    <w:abstractNumId w:val="30"/>
  </w:num>
  <w:num w:numId="8" w16cid:durableId="418520929">
    <w:abstractNumId w:val="22"/>
  </w:num>
  <w:num w:numId="9" w16cid:durableId="1389843414">
    <w:abstractNumId w:val="29"/>
  </w:num>
  <w:num w:numId="10" w16cid:durableId="1532959412">
    <w:abstractNumId w:val="20"/>
  </w:num>
  <w:num w:numId="11" w16cid:durableId="1841002693">
    <w:abstractNumId w:val="20"/>
  </w:num>
  <w:num w:numId="12" w16cid:durableId="472526171">
    <w:abstractNumId w:val="11"/>
  </w:num>
  <w:num w:numId="13" w16cid:durableId="356391882">
    <w:abstractNumId w:val="21"/>
  </w:num>
  <w:num w:numId="14" w16cid:durableId="2000107508">
    <w:abstractNumId w:val="26"/>
  </w:num>
  <w:num w:numId="15" w16cid:durableId="573051032">
    <w:abstractNumId w:val="19"/>
  </w:num>
  <w:num w:numId="16" w16cid:durableId="959530078">
    <w:abstractNumId w:val="8"/>
  </w:num>
  <w:num w:numId="17" w16cid:durableId="502554521">
    <w:abstractNumId w:val="6"/>
  </w:num>
  <w:num w:numId="18" w16cid:durableId="1402943110">
    <w:abstractNumId w:val="5"/>
  </w:num>
  <w:num w:numId="19" w16cid:durableId="355157392">
    <w:abstractNumId w:val="3"/>
  </w:num>
  <w:num w:numId="20" w16cid:durableId="1929196391">
    <w:abstractNumId w:val="14"/>
  </w:num>
  <w:num w:numId="21" w16cid:durableId="1756321806">
    <w:abstractNumId w:val="7"/>
  </w:num>
  <w:num w:numId="22" w16cid:durableId="1627077625">
    <w:abstractNumId w:val="4"/>
  </w:num>
  <w:num w:numId="23" w16cid:durableId="1826893966">
    <w:abstractNumId w:val="23"/>
  </w:num>
  <w:num w:numId="24" w16cid:durableId="284779048">
    <w:abstractNumId w:val="24"/>
  </w:num>
  <w:num w:numId="25" w16cid:durableId="1329670231">
    <w:abstractNumId w:val="25"/>
  </w:num>
  <w:num w:numId="26" w16cid:durableId="99571034">
    <w:abstractNumId w:val="0"/>
  </w:num>
  <w:num w:numId="27" w16cid:durableId="1304432474">
    <w:abstractNumId w:val="18"/>
  </w:num>
  <w:num w:numId="28" w16cid:durableId="234125161">
    <w:abstractNumId w:val="17"/>
  </w:num>
  <w:num w:numId="29" w16cid:durableId="907573515">
    <w:abstractNumId w:val="27"/>
  </w:num>
  <w:num w:numId="30" w16cid:durableId="1630941064">
    <w:abstractNumId w:val="0"/>
  </w:num>
  <w:num w:numId="31" w16cid:durableId="712770726">
    <w:abstractNumId w:val="5"/>
  </w:num>
  <w:num w:numId="32" w16cid:durableId="859471794">
    <w:abstractNumId w:val="3"/>
  </w:num>
  <w:num w:numId="33" w16cid:durableId="953558251">
    <w:abstractNumId w:val="14"/>
  </w:num>
  <w:num w:numId="34" w16cid:durableId="1164051018">
    <w:abstractNumId w:val="0"/>
  </w:num>
  <w:num w:numId="35" w16cid:durableId="854806511">
    <w:abstractNumId w:val="5"/>
  </w:num>
  <w:num w:numId="36" w16cid:durableId="1507019581">
    <w:abstractNumId w:val="3"/>
  </w:num>
  <w:num w:numId="37" w16cid:durableId="701052948">
    <w:abstractNumId w:val="14"/>
  </w:num>
  <w:num w:numId="38" w16cid:durableId="1693335414">
    <w:abstractNumId w:val="1"/>
  </w:num>
  <w:num w:numId="39" w16cid:durableId="17767555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5315234">
    <w:abstractNumId w:val="9"/>
  </w:num>
  <w:num w:numId="41" w16cid:durableId="838036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54"/>
    <w:rsid w:val="0001034F"/>
    <w:rsid w:val="00017953"/>
    <w:rsid w:val="000361DC"/>
    <w:rsid w:val="00037C53"/>
    <w:rsid w:val="0004649E"/>
    <w:rsid w:val="00057985"/>
    <w:rsid w:val="00062029"/>
    <w:rsid w:val="000732E8"/>
    <w:rsid w:val="000757A0"/>
    <w:rsid w:val="00081E2B"/>
    <w:rsid w:val="000831FE"/>
    <w:rsid w:val="00084EEE"/>
    <w:rsid w:val="000858E0"/>
    <w:rsid w:val="00095B58"/>
    <w:rsid w:val="0009729F"/>
    <w:rsid w:val="000A2592"/>
    <w:rsid w:val="000A36D0"/>
    <w:rsid w:val="000B0BB5"/>
    <w:rsid w:val="000B2DE4"/>
    <w:rsid w:val="000B62A8"/>
    <w:rsid w:val="000B62D2"/>
    <w:rsid w:val="000D0C93"/>
    <w:rsid w:val="000E3437"/>
    <w:rsid w:val="000E49EC"/>
    <w:rsid w:val="000E56F0"/>
    <w:rsid w:val="000F26E8"/>
    <w:rsid w:val="000F2D66"/>
    <w:rsid w:val="000F3BEF"/>
    <w:rsid w:val="000F57B0"/>
    <w:rsid w:val="000F6AE9"/>
    <w:rsid w:val="00117A2E"/>
    <w:rsid w:val="0014178D"/>
    <w:rsid w:val="00142B39"/>
    <w:rsid w:val="00142B44"/>
    <w:rsid w:val="00151B25"/>
    <w:rsid w:val="001534DA"/>
    <w:rsid w:val="00161353"/>
    <w:rsid w:val="00165D14"/>
    <w:rsid w:val="00176364"/>
    <w:rsid w:val="001842D3"/>
    <w:rsid w:val="00186694"/>
    <w:rsid w:val="00194680"/>
    <w:rsid w:val="00197C76"/>
    <w:rsid w:val="001A4D53"/>
    <w:rsid w:val="001B0675"/>
    <w:rsid w:val="001B4576"/>
    <w:rsid w:val="001C06FB"/>
    <w:rsid w:val="001C2EBC"/>
    <w:rsid w:val="001C650B"/>
    <w:rsid w:val="001D4E6C"/>
    <w:rsid w:val="001F2D6C"/>
    <w:rsid w:val="001F3326"/>
    <w:rsid w:val="0020146E"/>
    <w:rsid w:val="00213B1F"/>
    <w:rsid w:val="00213FC6"/>
    <w:rsid w:val="002265A0"/>
    <w:rsid w:val="002267CF"/>
    <w:rsid w:val="00242776"/>
    <w:rsid w:val="0025243C"/>
    <w:rsid w:val="00256B05"/>
    <w:rsid w:val="0025772F"/>
    <w:rsid w:val="0026033A"/>
    <w:rsid w:val="00261AAE"/>
    <w:rsid w:val="0026213D"/>
    <w:rsid w:val="00262A9A"/>
    <w:rsid w:val="002630D9"/>
    <w:rsid w:val="00263BAE"/>
    <w:rsid w:val="002738D4"/>
    <w:rsid w:val="00274F71"/>
    <w:rsid w:val="00282FEC"/>
    <w:rsid w:val="00285224"/>
    <w:rsid w:val="002A31CB"/>
    <w:rsid w:val="002A66A5"/>
    <w:rsid w:val="002D0162"/>
    <w:rsid w:val="002D674E"/>
    <w:rsid w:val="002F0D4F"/>
    <w:rsid w:val="002F679C"/>
    <w:rsid w:val="00300CFD"/>
    <w:rsid w:val="0030200A"/>
    <w:rsid w:val="0031011F"/>
    <w:rsid w:val="0031157B"/>
    <w:rsid w:val="00316121"/>
    <w:rsid w:val="0032042E"/>
    <w:rsid w:val="00320B9C"/>
    <w:rsid w:val="00333E90"/>
    <w:rsid w:val="0033548D"/>
    <w:rsid w:val="00341487"/>
    <w:rsid w:val="00343A8B"/>
    <w:rsid w:val="00351F35"/>
    <w:rsid w:val="00353E5F"/>
    <w:rsid w:val="0037375F"/>
    <w:rsid w:val="00375454"/>
    <w:rsid w:val="0037722A"/>
    <w:rsid w:val="00377478"/>
    <w:rsid w:val="0038433E"/>
    <w:rsid w:val="00384F4B"/>
    <w:rsid w:val="00390814"/>
    <w:rsid w:val="003A4698"/>
    <w:rsid w:val="003A5406"/>
    <w:rsid w:val="003B0FC6"/>
    <w:rsid w:val="003B29EF"/>
    <w:rsid w:val="003B7852"/>
    <w:rsid w:val="003B7BD4"/>
    <w:rsid w:val="003C0380"/>
    <w:rsid w:val="003C0F0B"/>
    <w:rsid w:val="003C53E9"/>
    <w:rsid w:val="003D3847"/>
    <w:rsid w:val="003D5E79"/>
    <w:rsid w:val="003E026C"/>
    <w:rsid w:val="003E544D"/>
    <w:rsid w:val="003F0FF4"/>
    <w:rsid w:val="003F410D"/>
    <w:rsid w:val="004017D1"/>
    <w:rsid w:val="0040276C"/>
    <w:rsid w:val="004038FF"/>
    <w:rsid w:val="00404C49"/>
    <w:rsid w:val="004235AA"/>
    <w:rsid w:val="0043025A"/>
    <w:rsid w:val="00434AB9"/>
    <w:rsid w:val="004430F7"/>
    <w:rsid w:val="00444F89"/>
    <w:rsid w:val="00451C54"/>
    <w:rsid w:val="00455FA1"/>
    <w:rsid w:val="00460091"/>
    <w:rsid w:val="00470374"/>
    <w:rsid w:val="00470870"/>
    <w:rsid w:val="0047317C"/>
    <w:rsid w:val="00475686"/>
    <w:rsid w:val="00475B69"/>
    <w:rsid w:val="00480B46"/>
    <w:rsid w:val="00480D6B"/>
    <w:rsid w:val="00493DA8"/>
    <w:rsid w:val="00494C1F"/>
    <w:rsid w:val="004A74C9"/>
    <w:rsid w:val="004C5200"/>
    <w:rsid w:val="004E5FE2"/>
    <w:rsid w:val="004F1A72"/>
    <w:rsid w:val="004F40D8"/>
    <w:rsid w:val="00507D90"/>
    <w:rsid w:val="00511586"/>
    <w:rsid w:val="005130C1"/>
    <w:rsid w:val="005214B7"/>
    <w:rsid w:val="00523645"/>
    <w:rsid w:val="00524DDC"/>
    <w:rsid w:val="00534AB8"/>
    <w:rsid w:val="00545009"/>
    <w:rsid w:val="00545F62"/>
    <w:rsid w:val="00547C5B"/>
    <w:rsid w:val="00553E64"/>
    <w:rsid w:val="005551B6"/>
    <w:rsid w:val="005560B7"/>
    <w:rsid w:val="005716D0"/>
    <w:rsid w:val="00572385"/>
    <w:rsid w:val="00575CE6"/>
    <w:rsid w:val="00576360"/>
    <w:rsid w:val="00583BD4"/>
    <w:rsid w:val="005A518C"/>
    <w:rsid w:val="005A55C2"/>
    <w:rsid w:val="005A6EBD"/>
    <w:rsid w:val="005C52A5"/>
    <w:rsid w:val="005E0765"/>
    <w:rsid w:val="005E2125"/>
    <w:rsid w:val="005E41D5"/>
    <w:rsid w:val="005E53D6"/>
    <w:rsid w:val="005E7E8C"/>
    <w:rsid w:val="005F3C69"/>
    <w:rsid w:val="005F6E86"/>
    <w:rsid w:val="00603B5D"/>
    <w:rsid w:val="00604EC0"/>
    <w:rsid w:val="00606354"/>
    <w:rsid w:val="0061160C"/>
    <w:rsid w:val="0062592B"/>
    <w:rsid w:val="00633A79"/>
    <w:rsid w:val="00634BA5"/>
    <w:rsid w:val="0064179B"/>
    <w:rsid w:val="006518A2"/>
    <w:rsid w:val="006710C2"/>
    <w:rsid w:val="00671C04"/>
    <w:rsid w:val="00671E6F"/>
    <w:rsid w:val="006741A7"/>
    <w:rsid w:val="006840DC"/>
    <w:rsid w:val="00685C64"/>
    <w:rsid w:val="00685DB1"/>
    <w:rsid w:val="00692A84"/>
    <w:rsid w:val="006A1738"/>
    <w:rsid w:val="006A2805"/>
    <w:rsid w:val="006A2892"/>
    <w:rsid w:val="006A70A3"/>
    <w:rsid w:val="006A720B"/>
    <w:rsid w:val="006D070D"/>
    <w:rsid w:val="006D1144"/>
    <w:rsid w:val="006D2F3D"/>
    <w:rsid w:val="006E6D61"/>
    <w:rsid w:val="006F3280"/>
    <w:rsid w:val="006F3D72"/>
    <w:rsid w:val="007019E3"/>
    <w:rsid w:val="00705D1B"/>
    <w:rsid w:val="00711D6A"/>
    <w:rsid w:val="00712B97"/>
    <w:rsid w:val="00715231"/>
    <w:rsid w:val="00723F1C"/>
    <w:rsid w:val="007327A0"/>
    <w:rsid w:val="00732C9A"/>
    <w:rsid w:val="0073350A"/>
    <w:rsid w:val="00733B35"/>
    <w:rsid w:val="007357F7"/>
    <w:rsid w:val="00736B62"/>
    <w:rsid w:val="00740891"/>
    <w:rsid w:val="00741F79"/>
    <w:rsid w:val="00743031"/>
    <w:rsid w:val="00745FCD"/>
    <w:rsid w:val="0075076A"/>
    <w:rsid w:val="00756949"/>
    <w:rsid w:val="007723D4"/>
    <w:rsid w:val="007805A6"/>
    <w:rsid w:val="00786394"/>
    <w:rsid w:val="00786700"/>
    <w:rsid w:val="007943D3"/>
    <w:rsid w:val="007961A7"/>
    <w:rsid w:val="007A3D25"/>
    <w:rsid w:val="007A6FAA"/>
    <w:rsid w:val="007B54DC"/>
    <w:rsid w:val="007B7898"/>
    <w:rsid w:val="007C0264"/>
    <w:rsid w:val="007C1EE9"/>
    <w:rsid w:val="007C294D"/>
    <w:rsid w:val="007C2D89"/>
    <w:rsid w:val="007D26AD"/>
    <w:rsid w:val="007D37F7"/>
    <w:rsid w:val="007E2EC2"/>
    <w:rsid w:val="007E35A5"/>
    <w:rsid w:val="007F1F0E"/>
    <w:rsid w:val="007F20C1"/>
    <w:rsid w:val="007F3890"/>
    <w:rsid w:val="007F77C6"/>
    <w:rsid w:val="0080027B"/>
    <w:rsid w:val="00802B37"/>
    <w:rsid w:val="008032B3"/>
    <w:rsid w:val="0082461C"/>
    <w:rsid w:val="00831E80"/>
    <w:rsid w:val="00832B21"/>
    <w:rsid w:val="0083731A"/>
    <w:rsid w:val="00840A0C"/>
    <w:rsid w:val="00844749"/>
    <w:rsid w:val="0085417C"/>
    <w:rsid w:val="00856F5B"/>
    <w:rsid w:val="00861754"/>
    <w:rsid w:val="008622B2"/>
    <w:rsid w:val="0086332D"/>
    <w:rsid w:val="0087120A"/>
    <w:rsid w:val="00873FB8"/>
    <w:rsid w:val="00877FF4"/>
    <w:rsid w:val="00881D9D"/>
    <w:rsid w:val="00884839"/>
    <w:rsid w:val="00884E53"/>
    <w:rsid w:val="008A19B5"/>
    <w:rsid w:val="008A206C"/>
    <w:rsid w:val="008B5247"/>
    <w:rsid w:val="008C121C"/>
    <w:rsid w:val="008D2AF3"/>
    <w:rsid w:val="008D3CF5"/>
    <w:rsid w:val="008E347A"/>
    <w:rsid w:val="009055D0"/>
    <w:rsid w:val="009072F9"/>
    <w:rsid w:val="0091443F"/>
    <w:rsid w:val="00920398"/>
    <w:rsid w:val="00926C49"/>
    <w:rsid w:val="009330E8"/>
    <w:rsid w:val="00945645"/>
    <w:rsid w:val="00945FBE"/>
    <w:rsid w:val="009504C5"/>
    <w:rsid w:val="00951091"/>
    <w:rsid w:val="00957E48"/>
    <w:rsid w:val="009628A7"/>
    <w:rsid w:val="0096458E"/>
    <w:rsid w:val="00965058"/>
    <w:rsid w:val="009652F1"/>
    <w:rsid w:val="00980E5E"/>
    <w:rsid w:val="00984C14"/>
    <w:rsid w:val="009866E4"/>
    <w:rsid w:val="00987BE6"/>
    <w:rsid w:val="00992FFA"/>
    <w:rsid w:val="00993C66"/>
    <w:rsid w:val="00994034"/>
    <w:rsid w:val="00994DAE"/>
    <w:rsid w:val="009B4220"/>
    <w:rsid w:val="009C4EC0"/>
    <w:rsid w:val="009D0A8C"/>
    <w:rsid w:val="009D26A1"/>
    <w:rsid w:val="009D4A71"/>
    <w:rsid w:val="009D74CC"/>
    <w:rsid w:val="009E636E"/>
    <w:rsid w:val="009F3A2B"/>
    <w:rsid w:val="00A02FCC"/>
    <w:rsid w:val="00A03AF9"/>
    <w:rsid w:val="00A1000D"/>
    <w:rsid w:val="00A20903"/>
    <w:rsid w:val="00A215A1"/>
    <w:rsid w:val="00A21DB2"/>
    <w:rsid w:val="00A36E48"/>
    <w:rsid w:val="00A41ABA"/>
    <w:rsid w:val="00A43A6A"/>
    <w:rsid w:val="00A5601E"/>
    <w:rsid w:val="00A60B06"/>
    <w:rsid w:val="00A7036B"/>
    <w:rsid w:val="00A775CE"/>
    <w:rsid w:val="00A8009D"/>
    <w:rsid w:val="00A80E23"/>
    <w:rsid w:val="00AA417F"/>
    <w:rsid w:val="00AC1453"/>
    <w:rsid w:val="00AD1405"/>
    <w:rsid w:val="00AE1A2D"/>
    <w:rsid w:val="00AE3644"/>
    <w:rsid w:val="00AE462C"/>
    <w:rsid w:val="00AE6DA5"/>
    <w:rsid w:val="00AF1815"/>
    <w:rsid w:val="00AF3A42"/>
    <w:rsid w:val="00AF4ECB"/>
    <w:rsid w:val="00AF6A82"/>
    <w:rsid w:val="00B00EA1"/>
    <w:rsid w:val="00B12231"/>
    <w:rsid w:val="00B14BFD"/>
    <w:rsid w:val="00B23B37"/>
    <w:rsid w:val="00B26487"/>
    <w:rsid w:val="00B268D2"/>
    <w:rsid w:val="00B300B9"/>
    <w:rsid w:val="00B32E6D"/>
    <w:rsid w:val="00B33D37"/>
    <w:rsid w:val="00B4119A"/>
    <w:rsid w:val="00B46729"/>
    <w:rsid w:val="00B47A1F"/>
    <w:rsid w:val="00B47F1F"/>
    <w:rsid w:val="00B534B0"/>
    <w:rsid w:val="00B613EB"/>
    <w:rsid w:val="00B63726"/>
    <w:rsid w:val="00B6470D"/>
    <w:rsid w:val="00B80D54"/>
    <w:rsid w:val="00B8478C"/>
    <w:rsid w:val="00B86EC2"/>
    <w:rsid w:val="00B954BD"/>
    <w:rsid w:val="00B96FD2"/>
    <w:rsid w:val="00BA16AA"/>
    <w:rsid w:val="00BB4C12"/>
    <w:rsid w:val="00BB64A5"/>
    <w:rsid w:val="00BC1D59"/>
    <w:rsid w:val="00BD0065"/>
    <w:rsid w:val="00BD14B0"/>
    <w:rsid w:val="00BD5E16"/>
    <w:rsid w:val="00BD6E63"/>
    <w:rsid w:val="00BE1A74"/>
    <w:rsid w:val="00BE3270"/>
    <w:rsid w:val="00BE6A72"/>
    <w:rsid w:val="00BF6BD4"/>
    <w:rsid w:val="00C002A5"/>
    <w:rsid w:val="00C02216"/>
    <w:rsid w:val="00C04206"/>
    <w:rsid w:val="00C06C09"/>
    <w:rsid w:val="00C06C9A"/>
    <w:rsid w:val="00C16099"/>
    <w:rsid w:val="00C2504C"/>
    <w:rsid w:val="00C266E6"/>
    <w:rsid w:val="00C32669"/>
    <w:rsid w:val="00C32DEA"/>
    <w:rsid w:val="00C34B54"/>
    <w:rsid w:val="00C42489"/>
    <w:rsid w:val="00C43D8F"/>
    <w:rsid w:val="00C50E4F"/>
    <w:rsid w:val="00C519B6"/>
    <w:rsid w:val="00C627BD"/>
    <w:rsid w:val="00C62BE7"/>
    <w:rsid w:val="00C63EF3"/>
    <w:rsid w:val="00C67B33"/>
    <w:rsid w:val="00C825E1"/>
    <w:rsid w:val="00C86AB5"/>
    <w:rsid w:val="00C93296"/>
    <w:rsid w:val="00C93F73"/>
    <w:rsid w:val="00C944DD"/>
    <w:rsid w:val="00C951C6"/>
    <w:rsid w:val="00CA1B47"/>
    <w:rsid w:val="00CA565F"/>
    <w:rsid w:val="00CB5C07"/>
    <w:rsid w:val="00CB6B5A"/>
    <w:rsid w:val="00CB6FBB"/>
    <w:rsid w:val="00CC3178"/>
    <w:rsid w:val="00CC33A5"/>
    <w:rsid w:val="00CC3EB9"/>
    <w:rsid w:val="00CE31DA"/>
    <w:rsid w:val="00CE6A22"/>
    <w:rsid w:val="00CE6CC5"/>
    <w:rsid w:val="00CF1617"/>
    <w:rsid w:val="00CF1D35"/>
    <w:rsid w:val="00CF3389"/>
    <w:rsid w:val="00CF36C8"/>
    <w:rsid w:val="00CF3763"/>
    <w:rsid w:val="00CF413D"/>
    <w:rsid w:val="00CF5C53"/>
    <w:rsid w:val="00CF6116"/>
    <w:rsid w:val="00D05FE5"/>
    <w:rsid w:val="00D17240"/>
    <w:rsid w:val="00D24138"/>
    <w:rsid w:val="00D335BB"/>
    <w:rsid w:val="00D35C9E"/>
    <w:rsid w:val="00D7277E"/>
    <w:rsid w:val="00D72B67"/>
    <w:rsid w:val="00D7513B"/>
    <w:rsid w:val="00D769B3"/>
    <w:rsid w:val="00D8695F"/>
    <w:rsid w:val="00D86E17"/>
    <w:rsid w:val="00D90C66"/>
    <w:rsid w:val="00D90EAF"/>
    <w:rsid w:val="00D93B2D"/>
    <w:rsid w:val="00D96747"/>
    <w:rsid w:val="00DA013C"/>
    <w:rsid w:val="00DA5A56"/>
    <w:rsid w:val="00DB1EA9"/>
    <w:rsid w:val="00DB518E"/>
    <w:rsid w:val="00DB560E"/>
    <w:rsid w:val="00DB7D7D"/>
    <w:rsid w:val="00DC0499"/>
    <w:rsid w:val="00DC4478"/>
    <w:rsid w:val="00DD5792"/>
    <w:rsid w:val="00DE1450"/>
    <w:rsid w:val="00E0012F"/>
    <w:rsid w:val="00E00D71"/>
    <w:rsid w:val="00E03DD9"/>
    <w:rsid w:val="00E03F53"/>
    <w:rsid w:val="00E05FFF"/>
    <w:rsid w:val="00E07A4E"/>
    <w:rsid w:val="00E10940"/>
    <w:rsid w:val="00E15D6E"/>
    <w:rsid w:val="00E207C0"/>
    <w:rsid w:val="00E23565"/>
    <w:rsid w:val="00E25D92"/>
    <w:rsid w:val="00E337D6"/>
    <w:rsid w:val="00E35452"/>
    <w:rsid w:val="00E3658F"/>
    <w:rsid w:val="00E37539"/>
    <w:rsid w:val="00E57B56"/>
    <w:rsid w:val="00E6782B"/>
    <w:rsid w:val="00E73B41"/>
    <w:rsid w:val="00E75D0A"/>
    <w:rsid w:val="00E75EE4"/>
    <w:rsid w:val="00E85F9D"/>
    <w:rsid w:val="00E87AA6"/>
    <w:rsid w:val="00E9101A"/>
    <w:rsid w:val="00E918DD"/>
    <w:rsid w:val="00E91AC2"/>
    <w:rsid w:val="00EA3D2A"/>
    <w:rsid w:val="00EB121A"/>
    <w:rsid w:val="00EB1760"/>
    <w:rsid w:val="00EB28C3"/>
    <w:rsid w:val="00EB5A75"/>
    <w:rsid w:val="00EC3838"/>
    <w:rsid w:val="00EC7298"/>
    <w:rsid w:val="00EE1EAF"/>
    <w:rsid w:val="00EE1EC0"/>
    <w:rsid w:val="00EF1A86"/>
    <w:rsid w:val="00F057C5"/>
    <w:rsid w:val="00F07364"/>
    <w:rsid w:val="00F10477"/>
    <w:rsid w:val="00F12842"/>
    <w:rsid w:val="00F15B28"/>
    <w:rsid w:val="00F178E5"/>
    <w:rsid w:val="00F25E78"/>
    <w:rsid w:val="00F351BD"/>
    <w:rsid w:val="00F373B5"/>
    <w:rsid w:val="00F40C2F"/>
    <w:rsid w:val="00F4360A"/>
    <w:rsid w:val="00F4463F"/>
    <w:rsid w:val="00F45B3A"/>
    <w:rsid w:val="00F55B09"/>
    <w:rsid w:val="00F6183F"/>
    <w:rsid w:val="00F621DB"/>
    <w:rsid w:val="00F64B14"/>
    <w:rsid w:val="00F65A4D"/>
    <w:rsid w:val="00F7292C"/>
    <w:rsid w:val="00F753CF"/>
    <w:rsid w:val="00F815C5"/>
    <w:rsid w:val="00F82904"/>
    <w:rsid w:val="00F879CB"/>
    <w:rsid w:val="00F92D2E"/>
    <w:rsid w:val="00FA4FC0"/>
    <w:rsid w:val="00FA5777"/>
    <w:rsid w:val="00FA6D78"/>
    <w:rsid w:val="00FB0A54"/>
    <w:rsid w:val="00FB292A"/>
    <w:rsid w:val="00FB362C"/>
    <w:rsid w:val="00FB6ADC"/>
    <w:rsid w:val="00FC443C"/>
    <w:rsid w:val="00FC4C4E"/>
    <w:rsid w:val="00FC67BF"/>
    <w:rsid w:val="00FD3D24"/>
    <w:rsid w:val="00FD5141"/>
    <w:rsid w:val="00FD72F9"/>
    <w:rsid w:val="00FE243D"/>
    <w:rsid w:val="00FF1D31"/>
    <w:rsid w:val="00FF553A"/>
    <w:rsid w:val="00FF5A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70BA7"/>
  <w15:docId w15:val="{2F9798DE-2D84-4E36-9A71-C20E03C3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lsdException w:name="heading 3" w:uiPriority="0"/>
    <w:lsdException w:name="heading 4"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04C"/>
    <w:rPr>
      <w:rFonts w:ascii="Arial" w:eastAsia="Times New Roman" w:hAnsi="Arial" w:cs="Arial"/>
      <w:sz w:val="22"/>
    </w:rPr>
  </w:style>
  <w:style w:type="paragraph" w:styleId="Heading1">
    <w:name w:val="heading 1"/>
    <w:basedOn w:val="Normal"/>
    <w:next w:val="Normal"/>
    <w:link w:val="Heading1Char"/>
    <w:uiPriority w:val="9"/>
    <w:rsid w:val="00802B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rsid w:val="004430F7"/>
    <w:pPr>
      <w:keepNext/>
      <w:outlineLvl w:val="1"/>
    </w:pPr>
    <w:rPr>
      <w:b/>
      <w:bCs/>
      <w:i/>
      <w:iCs/>
      <w:color w:val="000000"/>
      <w:sz w:val="24"/>
      <w:szCs w:val="24"/>
    </w:rPr>
  </w:style>
  <w:style w:type="paragraph" w:styleId="Heading3">
    <w:name w:val="heading 3"/>
    <w:basedOn w:val="Normal"/>
    <w:next w:val="Normal"/>
    <w:rsid w:val="004430F7"/>
    <w:pPr>
      <w:keepNext/>
      <w:jc w:val="both"/>
      <w:outlineLvl w:val="2"/>
    </w:pPr>
    <w:rPr>
      <w:b/>
      <w:bCs/>
      <w:color w:val="000000"/>
    </w:rPr>
  </w:style>
  <w:style w:type="paragraph" w:styleId="Heading4">
    <w:name w:val="heading 4"/>
    <w:basedOn w:val="Normal"/>
    <w:next w:val="Normal"/>
    <w:rsid w:val="004430F7"/>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61DC"/>
    <w:pPr>
      <w:tabs>
        <w:tab w:val="center" w:pos="4513"/>
        <w:tab w:val="right" w:pos="9026"/>
      </w:tabs>
    </w:pPr>
  </w:style>
  <w:style w:type="character" w:customStyle="1" w:styleId="HeaderChar">
    <w:name w:val="Header Char"/>
    <w:basedOn w:val="DefaultParagraphFont"/>
    <w:link w:val="Header"/>
    <w:rsid w:val="000361DC"/>
    <w:rPr>
      <w:rFonts w:ascii="Arial" w:eastAsia="Times New Roman" w:hAnsi="Arial" w:cs="Arial"/>
      <w:sz w:val="22"/>
    </w:rPr>
  </w:style>
  <w:style w:type="paragraph" w:styleId="Footer">
    <w:name w:val="footer"/>
    <w:basedOn w:val="Normal"/>
    <w:link w:val="FooterChar"/>
    <w:uiPriority w:val="99"/>
    <w:unhideWhenUsed/>
    <w:rsid w:val="000361DC"/>
    <w:pPr>
      <w:tabs>
        <w:tab w:val="center" w:pos="4513"/>
        <w:tab w:val="right" w:pos="9026"/>
      </w:tabs>
    </w:pPr>
  </w:style>
  <w:style w:type="character" w:customStyle="1" w:styleId="FooterChar">
    <w:name w:val="Footer Char"/>
    <w:basedOn w:val="DefaultParagraphFont"/>
    <w:link w:val="Footer"/>
    <w:uiPriority w:val="99"/>
    <w:rsid w:val="000361DC"/>
    <w:rPr>
      <w:rFonts w:ascii="Arial" w:eastAsia="Times New Roman" w:hAnsi="Arial" w:cs="Arial"/>
      <w:sz w:val="22"/>
    </w:rPr>
  </w:style>
  <w:style w:type="character" w:styleId="Hyperlink">
    <w:name w:val="Hyperlink"/>
    <w:semiHidden/>
    <w:rsid w:val="004430F7"/>
    <w:rPr>
      <w:rFonts w:cs="Times New Roman"/>
      <w:color w:val="0000FF"/>
      <w:u w:val="single"/>
    </w:rPr>
  </w:style>
  <w:style w:type="paragraph" w:customStyle="1" w:styleId="Revision1">
    <w:name w:val="Revision1"/>
    <w:hidden/>
    <w:semiHidden/>
    <w:rsid w:val="004430F7"/>
    <w:rPr>
      <w:rFonts w:ascii="Arial" w:eastAsia="Times New Roman" w:hAnsi="Arial" w:cs="Arial"/>
    </w:rPr>
  </w:style>
  <w:style w:type="paragraph" w:styleId="Revision">
    <w:name w:val="Revision"/>
    <w:hidden/>
    <w:uiPriority w:val="99"/>
    <w:semiHidden/>
    <w:rsid w:val="00470374"/>
    <w:rPr>
      <w:rFonts w:ascii="Arial" w:eastAsia="Times New Roman" w:hAnsi="Arial" w:cs="Arial"/>
    </w:rPr>
  </w:style>
  <w:style w:type="paragraph" w:styleId="ListParagraph">
    <w:name w:val="List Paragraph"/>
    <w:basedOn w:val="Normal"/>
    <w:link w:val="ListParagraphChar"/>
    <w:uiPriority w:val="34"/>
    <w:qFormat/>
    <w:rsid w:val="00984C14"/>
    <w:pPr>
      <w:ind w:left="720"/>
      <w:contextualSpacing/>
    </w:pPr>
    <w:rPr>
      <w:rFonts w:eastAsia="Calibri"/>
      <w:szCs w:val="22"/>
      <w:lang w:eastAsia="en-US" w:bidi="en-US"/>
    </w:rPr>
  </w:style>
  <w:style w:type="table" w:styleId="TableGrid">
    <w:name w:val="Table Grid"/>
    <w:basedOn w:val="TableNormal"/>
    <w:uiPriority w:val="59"/>
    <w:rsid w:val="00DC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B80D54"/>
    <w:pPr>
      <w:spacing w:before="240" w:after="240"/>
      <w:ind w:left="360" w:hanging="360"/>
      <w:contextualSpacing/>
    </w:pPr>
    <w:rPr>
      <w:rFonts w:eastAsiaTheme="minorHAnsi"/>
      <w:szCs w:val="22"/>
    </w:rPr>
  </w:style>
  <w:style w:type="paragraph" w:customStyle="1" w:styleId="HNDocsBodyText">
    <w:name w:val="HN Docs Body Text"/>
    <w:link w:val="HNDocsBodyTextChar"/>
    <w:qFormat/>
    <w:rsid w:val="000361DC"/>
    <w:pPr>
      <w:spacing w:after="240"/>
    </w:pPr>
    <w:rPr>
      <w:rFonts w:ascii="Arial" w:eastAsia="Times New Roman" w:hAnsi="Arial" w:cs="Arial"/>
      <w:bCs/>
      <w:kern w:val="32"/>
      <w:szCs w:val="32"/>
      <w:lang w:eastAsia="en-US"/>
    </w:rPr>
  </w:style>
  <w:style w:type="character" w:customStyle="1" w:styleId="HNDocsBodyTextChar">
    <w:name w:val="HN Docs Body Text Char"/>
    <w:basedOn w:val="DefaultParagraphFont"/>
    <w:link w:val="HNDocsBodyText"/>
    <w:rsid w:val="000361DC"/>
    <w:rPr>
      <w:rFonts w:ascii="Arial" w:eastAsia="Times New Roman" w:hAnsi="Arial" w:cs="Arial"/>
      <w:bCs/>
      <w:kern w:val="32"/>
      <w:szCs w:val="32"/>
      <w:lang w:eastAsia="en-US"/>
    </w:rPr>
  </w:style>
  <w:style w:type="character" w:customStyle="1" w:styleId="Heading1Char">
    <w:name w:val="Heading 1 Char"/>
    <w:basedOn w:val="DefaultParagraphFont"/>
    <w:link w:val="Heading1"/>
    <w:uiPriority w:val="9"/>
    <w:rsid w:val="00802B37"/>
    <w:rPr>
      <w:rFonts w:asciiTheme="majorHAnsi" w:eastAsiaTheme="majorEastAsia" w:hAnsiTheme="majorHAnsi" w:cstheme="majorBidi"/>
      <w:color w:val="365F91" w:themeColor="accent1" w:themeShade="BF"/>
      <w:sz w:val="32"/>
      <w:szCs w:val="32"/>
    </w:rPr>
  </w:style>
  <w:style w:type="paragraph" w:customStyle="1" w:styleId="HNDocsHeading1">
    <w:name w:val="HN Docs Heading 1"/>
    <w:next w:val="HNDocsBodyText"/>
    <w:qFormat/>
    <w:rsid w:val="000361DC"/>
    <w:pPr>
      <w:pBdr>
        <w:bottom w:val="single" w:sz="4" w:space="1" w:color="4298B5"/>
      </w:pBdr>
      <w:spacing w:before="480" w:after="240" w:line="300" w:lineRule="auto"/>
    </w:pPr>
    <w:rPr>
      <w:rFonts w:ascii="Arial" w:eastAsia="Times New Roman" w:hAnsi="Arial" w:cs="Arial"/>
      <w:bCs/>
      <w:color w:val="4298B5"/>
      <w:kern w:val="32"/>
      <w:sz w:val="40"/>
      <w:szCs w:val="32"/>
      <w:u w:color="4298B5"/>
      <w:lang w:eastAsia="en-US"/>
    </w:rPr>
  </w:style>
  <w:style w:type="paragraph" w:customStyle="1" w:styleId="HNDocsHeading2">
    <w:name w:val="HN Docs Heading 2"/>
    <w:next w:val="HNDocsBodyText"/>
    <w:link w:val="HNDocsHeading2Char"/>
    <w:qFormat/>
    <w:rsid w:val="000361DC"/>
    <w:pPr>
      <w:spacing w:before="480" w:after="240"/>
    </w:pPr>
    <w:rPr>
      <w:rFonts w:ascii="Arial Bold" w:eastAsia="Times New Roman" w:hAnsi="Arial Bold" w:cs="Arial"/>
      <w:b/>
      <w:bCs/>
      <w:kern w:val="32"/>
      <w:sz w:val="28"/>
      <w:szCs w:val="32"/>
      <w:lang w:eastAsia="en-US"/>
    </w:rPr>
  </w:style>
  <w:style w:type="character" w:customStyle="1" w:styleId="HNDocsHeading2Char">
    <w:name w:val="HN Docs Heading 2 Char"/>
    <w:basedOn w:val="HNDocsBodyTextChar"/>
    <w:link w:val="HNDocsHeading2"/>
    <w:rsid w:val="000361DC"/>
    <w:rPr>
      <w:rFonts w:ascii="Arial Bold" w:eastAsia="Times New Roman" w:hAnsi="Arial Bold" w:cs="Arial"/>
      <w:b/>
      <w:bCs/>
      <w:kern w:val="32"/>
      <w:sz w:val="28"/>
      <w:szCs w:val="32"/>
      <w:lang w:eastAsia="en-US"/>
    </w:rPr>
  </w:style>
  <w:style w:type="paragraph" w:customStyle="1" w:styleId="HNDocsHeading3">
    <w:name w:val="HN Docs Heading 3"/>
    <w:qFormat/>
    <w:rsid w:val="000361DC"/>
    <w:pPr>
      <w:spacing w:before="480" w:after="240"/>
    </w:pPr>
    <w:rPr>
      <w:rFonts w:ascii="Arial" w:eastAsia="Times New Roman" w:hAnsi="Arial"/>
      <w:i/>
      <w:sz w:val="28"/>
      <w:szCs w:val="24"/>
      <w:lang w:val="en-US" w:eastAsia="en-US"/>
    </w:rPr>
  </w:style>
  <w:style w:type="paragraph" w:customStyle="1" w:styleId="HNDocsHeading4">
    <w:name w:val="HN Docs Heading 4"/>
    <w:link w:val="HNDocsHeading4Char"/>
    <w:qFormat/>
    <w:rsid w:val="000361DC"/>
    <w:pPr>
      <w:spacing w:before="480" w:after="240"/>
    </w:pPr>
    <w:rPr>
      <w:rFonts w:ascii="Arial Bold" w:eastAsia="Times New Roman" w:hAnsi="Arial Bold" w:cs="Arial"/>
      <w:b/>
      <w:bCs/>
      <w:kern w:val="32"/>
      <w:sz w:val="24"/>
      <w:szCs w:val="32"/>
      <w:lang w:eastAsia="en-US"/>
    </w:rPr>
  </w:style>
  <w:style w:type="character" w:customStyle="1" w:styleId="HNDocsHeading4Char">
    <w:name w:val="HN Docs Heading 4 Char"/>
    <w:basedOn w:val="DefaultParagraphFont"/>
    <w:link w:val="HNDocsHeading4"/>
    <w:rsid w:val="000361DC"/>
    <w:rPr>
      <w:rFonts w:ascii="Arial Bold" w:eastAsia="Times New Roman" w:hAnsi="Arial Bold" w:cs="Arial"/>
      <w:b/>
      <w:bCs/>
      <w:kern w:val="32"/>
      <w:sz w:val="24"/>
      <w:szCs w:val="32"/>
      <w:lang w:eastAsia="en-US"/>
    </w:rPr>
  </w:style>
  <w:style w:type="paragraph" w:customStyle="1" w:styleId="KeyPolicy">
    <w:name w:val="Key Policy"/>
    <w:next w:val="Normal"/>
    <w:qFormat/>
    <w:rsid w:val="000361DC"/>
    <w:pPr>
      <w:numPr>
        <w:numId w:val="35"/>
      </w:numPr>
      <w:spacing w:after="240"/>
    </w:pPr>
    <w:rPr>
      <w:rFonts w:ascii="Arial" w:eastAsiaTheme="minorHAnsi" w:hAnsi="Arial" w:cstheme="minorBidi"/>
      <w:szCs w:val="22"/>
      <w:lang w:eastAsia="en-US"/>
    </w:rPr>
  </w:style>
  <w:style w:type="paragraph" w:customStyle="1" w:styleId="SupportPolicy">
    <w:name w:val="Support Policy"/>
    <w:next w:val="Normal"/>
    <w:rsid w:val="000361DC"/>
    <w:pPr>
      <w:numPr>
        <w:numId w:val="36"/>
      </w:numPr>
    </w:pPr>
    <w:rPr>
      <w:rFonts w:ascii="Arial" w:eastAsiaTheme="minorHAnsi" w:hAnsi="Arial" w:cs="Arial"/>
      <w:szCs w:val="22"/>
      <w:lang w:eastAsia="en-US"/>
    </w:rPr>
  </w:style>
  <w:style w:type="paragraph" w:customStyle="1" w:styleId="Tools">
    <w:name w:val="Tools"/>
    <w:next w:val="Normal"/>
    <w:qFormat/>
    <w:rsid w:val="000361DC"/>
    <w:pPr>
      <w:numPr>
        <w:numId w:val="37"/>
      </w:numPr>
      <w:spacing w:after="240"/>
    </w:pPr>
    <w:rPr>
      <w:rFonts w:ascii="Arial" w:eastAsiaTheme="minorHAnsi" w:hAnsi="Arial" w:cstheme="minorBidi"/>
      <w:szCs w:val="22"/>
      <w:lang w:eastAsia="en-US"/>
    </w:rPr>
  </w:style>
  <w:style w:type="character" w:customStyle="1" w:styleId="ListParagraphChar">
    <w:name w:val="List Paragraph Char"/>
    <w:basedOn w:val="DefaultParagraphFont"/>
    <w:link w:val="ListParagraph"/>
    <w:locked/>
    <w:rsid w:val="006A720B"/>
    <w:rPr>
      <w:rFonts w:ascii="Arial" w:eastAsia="Calibri" w:hAnsi="Arial" w:cs="Arial"/>
      <w:sz w:val="22"/>
      <w:szCs w:val="22"/>
      <w:lang w:eastAsia="en-US" w:bidi="en-US"/>
    </w:rPr>
  </w:style>
  <w:style w:type="paragraph" w:customStyle="1" w:styleId="HNDocsBulletpoints">
    <w:name w:val="HN Docs Bullet points"/>
    <w:qFormat/>
    <w:rsid w:val="000361DC"/>
    <w:pPr>
      <w:numPr>
        <w:numId w:val="34"/>
      </w:numPr>
      <w:spacing w:after="120"/>
    </w:pPr>
    <w:rPr>
      <w:rFonts w:ascii="Arial" w:eastAsia="Times New Roman" w:hAnsi="Arial" w:cs="Arial"/>
      <w:bCs/>
      <w:kern w:val="32"/>
      <w:szCs w:val="22"/>
      <w:lang w:eastAsia="en-US"/>
    </w:rPr>
  </w:style>
  <w:style w:type="paragraph" w:customStyle="1" w:styleId="HNDocsEndnotes">
    <w:name w:val="HN Docs Endnotes"/>
    <w:qFormat/>
    <w:rsid w:val="000361DC"/>
    <w:rPr>
      <w:rFonts w:ascii="Arial" w:eastAsiaTheme="minorHAnsi" w:hAnsi="Arial" w:cs="Arial"/>
      <w:sz w:val="18"/>
      <w:lang w:val="en-US" w:eastAsia="en-US"/>
    </w:rPr>
  </w:style>
  <w:style w:type="paragraph" w:customStyle="1" w:styleId="HNDocsPolicyName">
    <w:name w:val="HN Docs Policy Name"/>
    <w:qFormat/>
    <w:rsid w:val="000361DC"/>
    <w:rPr>
      <w:rFonts w:ascii="Arial" w:eastAsia="Times New Roman" w:hAnsi="Arial" w:cs="Arial"/>
      <w:noProof/>
      <w:color w:val="000000"/>
      <w:sz w:val="48"/>
      <w:szCs w:val="24"/>
    </w:rPr>
  </w:style>
  <w:style w:type="paragraph" w:styleId="BalloonText">
    <w:name w:val="Balloon Text"/>
    <w:basedOn w:val="Normal"/>
    <w:link w:val="BalloonTextChar"/>
    <w:uiPriority w:val="99"/>
    <w:semiHidden/>
    <w:unhideWhenUsed/>
    <w:rsid w:val="00DB5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18E"/>
    <w:rPr>
      <w:rFonts w:ascii="Segoe UI" w:eastAsia="Times New Roman" w:hAnsi="Segoe UI" w:cs="Segoe UI"/>
      <w:sz w:val="18"/>
      <w:szCs w:val="18"/>
    </w:rPr>
  </w:style>
  <w:style w:type="character" w:styleId="CommentReference">
    <w:name w:val="annotation reference"/>
    <w:basedOn w:val="DefaultParagraphFont"/>
    <w:semiHidden/>
    <w:unhideWhenUsed/>
    <w:rsid w:val="000F3BEF"/>
    <w:rPr>
      <w:sz w:val="16"/>
      <w:szCs w:val="16"/>
    </w:rPr>
  </w:style>
  <w:style w:type="paragraph" w:styleId="CommentText">
    <w:name w:val="annotation text"/>
    <w:basedOn w:val="Normal"/>
    <w:link w:val="CommentTextChar"/>
    <w:semiHidden/>
    <w:unhideWhenUsed/>
    <w:rsid w:val="000F3BEF"/>
    <w:rPr>
      <w:sz w:val="20"/>
    </w:rPr>
  </w:style>
  <w:style w:type="character" w:customStyle="1" w:styleId="CommentTextChar">
    <w:name w:val="Comment Text Char"/>
    <w:basedOn w:val="DefaultParagraphFont"/>
    <w:link w:val="CommentText"/>
    <w:semiHidden/>
    <w:rsid w:val="000F3BEF"/>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F3BEF"/>
    <w:rPr>
      <w:b/>
      <w:bCs/>
    </w:rPr>
  </w:style>
  <w:style w:type="character" w:customStyle="1" w:styleId="CommentSubjectChar">
    <w:name w:val="Comment Subject Char"/>
    <w:basedOn w:val="CommentTextChar"/>
    <w:link w:val="CommentSubject"/>
    <w:uiPriority w:val="99"/>
    <w:semiHidden/>
    <w:rsid w:val="000F3BEF"/>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4015">
      <w:bodyDiv w:val="1"/>
      <w:marLeft w:val="0"/>
      <w:marRight w:val="0"/>
      <w:marTop w:val="0"/>
      <w:marBottom w:val="0"/>
      <w:divBdr>
        <w:top w:val="none" w:sz="0" w:space="0" w:color="auto"/>
        <w:left w:val="none" w:sz="0" w:space="0" w:color="auto"/>
        <w:bottom w:val="none" w:sz="0" w:space="0" w:color="auto"/>
        <w:right w:val="none" w:sz="0" w:space="0" w:color="auto"/>
      </w:divBdr>
    </w:div>
    <w:div w:id="847335149">
      <w:bodyDiv w:val="1"/>
      <w:marLeft w:val="0"/>
      <w:marRight w:val="0"/>
      <w:marTop w:val="0"/>
      <w:marBottom w:val="0"/>
      <w:divBdr>
        <w:top w:val="none" w:sz="0" w:space="0" w:color="auto"/>
        <w:left w:val="none" w:sz="0" w:space="0" w:color="auto"/>
        <w:bottom w:val="none" w:sz="0" w:space="0" w:color="auto"/>
        <w:right w:val="none" w:sz="0" w:space="0" w:color="auto"/>
      </w:divBdr>
    </w:div>
    <w:div w:id="1069160144">
      <w:bodyDiv w:val="1"/>
      <w:marLeft w:val="0"/>
      <w:marRight w:val="0"/>
      <w:marTop w:val="0"/>
      <w:marBottom w:val="0"/>
      <w:divBdr>
        <w:top w:val="none" w:sz="0" w:space="0" w:color="auto"/>
        <w:left w:val="none" w:sz="0" w:space="0" w:color="auto"/>
        <w:bottom w:val="none" w:sz="0" w:space="0" w:color="auto"/>
        <w:right w:val="none" w:sz="0" w:space="0" w:color="auto"/>
      </w:divBdr>
    </w:div>
    <w:div w:id="1264800101">
      <w:bodyDiv w:val="1"/>
      <w:marLeft w:val="0"/>
      <w:marRight w:val="0"/>
      <w:marTop w:val="0"/>
      <w:marBottom w:val="0"/>
      <w:divBdr>
        <w:top w:val="none" w:sz="0" w:space="0" w:color="auto"/>
        <w:left w:val="none" w:sz="0" w:space="0" w:color="auto"/>
        <w:bottom w:val="none" w:sz="0" w:space="0" w:color="auto"/>
        <w:right w:val="none" w:sz="0" w:space="0" w:color="auto"/>
      </w:divBdr>
    </w:div>
    <w:div w:id="1284381862">
      <w:bodyDiv w:val="1"/>
      <w:marLeft w:val="0"/>
      <w:marRight w:val="0"/>
      <w:marTop w:val="0"/>
      <w:marBottom w:val="0"/>
      <w:divBdr>
        <w:top w:val="none" w:sz="0" w:space="0" w:color="auto"/>
        <w:left w:val="none" w:sz="0" w:space="0" w:color="auto"/>
        <w:bottom w:val="none" w:sz="0" w:space="0" w:color="auto"/>
        <w:right w:val="none" w:sz="0" w:space="0" w:color="auto"/>
      </w:divBdr>
      <w:divsChild>
        <w:div w:id="897010714">
          <w:marLeft w:val="547"/>
          <w:marRight w:val="0"/>
          <w:marTop w:val="0"/>
          <w:marBottom w:val="0"/>
          <w:divBdr>
            <w:top w:val="none" w:sz="0" w:space="0" w:color="auto"/>
            <w:left w:val="none" w:sz="0" w:space="0" w:color="auto"/>
            <w:bottom w:val="none" w:sz="0" w:space="0" w:color="auto"/>
            <w:right w:val="none" w:sz="0" w:space="0" w:color="auto"/>
          </w:divBdr>
        </w:div>
        <w:div w:id="1163159978">
          <w:marLeft w:val="547"/>
          <w:marRight w:val="0"/>
          <w:marTop w:val="0"/>
          <w:marBottom w:val="0"/>
          <w:divBdr>
            <w:top w:val="none" w:sz="0" w:space="0" w:color="auto"/>
            <w:left w:val="none" w:sz="0" w:space="0" w:color="auto"/>
            <w:bottom w:val="none" w:sz="0" w:space="0" w:color="auto"/>
            <w:right w:val="none" w:sz="0" w:space="0" w:color="auto"/>
          </w:divBdr>
        </w:div>
      </w:divsChild>
    </w:div>
    <w:div w:id="1661080880">
      <w:bodyDiv w:val="1"/>
      <w:marLeft w:val="0"/>
      <w:marRight w:val="0"/>
      <w:marTop w:val="0"/>
      <w:marBottom w:val="0"/>
      <w:divBdr>
        <w:top w:val="none" w:sz="0" w:space="0" w:color="auto"/>
        <w:left w:val="none" w:sz="0" w:space="0" w:color="auto"/>
        <w:bottom w:val="none" w:sz="0" w:space="0" w:color="auto"/>
        <w:right w:val="none" w:sz="0" w:space="0" w:color="auto"/>
      </w:divBdr>
    </w:div>
    <w:div w:id="1766070147">
      <w:bodyDiv w:val="1"/>
      <w:marLeft w:val="0"/>
      <w:marRight w:val="0"/>
      <w:marTop w:val="0"/>
      <w:marBottom w:val="0"/>
      <w:divBdr>
        <w:top w:val="none" w:sz="0" w:space="0" w:color="auto"/>
        <w:left w:val="none" w:sz="0" w:space="0" w:color="auto"/>
        <w:bottom w:val="none" w:sz="0" w:space="0" w:color="auto"/>
        <w:right w:val="none" w:sz="0" w:space="0" w:color="auto"/>
      </w:divBdr>
    </w:div>
    <w:div w:id="1885822287">
      <w:bodyDiv w:val="1"/>
      <w:marLeft w:val="0"/>
      <w:marRight w:val="0"/>
      <w:marTop w:val="0"/>
      <w:marBottom w:val="0"/>
      <w:divBdr>
        <w:top w:val="none" w:sz="0" w:space="0" w:color="auto"/>
        <w:left w:val="none" w:sz="0" w:space="0" w:color="auto"/>
        <w:bottom w:val="none" w:sz="0" w:space="0" w:color="auto"/>
        <w:right w:val="none" w:sz="0" w:space="0" w:color="auto"/>
      </w:divBdr>
    </w:div>
    <w:div w:id="210711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nlaw.com.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mailto:info@afca.org.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fca.org.a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5AC6941FFFB743A0B4B82CFFD5565F" ma:contentTypeVersion="9" ma:contentTypeDescription="Create a new document." ma:contentTypeScope="" ma:versionID="7e094b4b0fcc6072ccf8d2af3736735e">
  <xsd:schema xmlns:xsd="http://www.w3.org/2001/XMLSchema" xmlns:xs="http://www.w3.org/2001/XMLSchema" xmlns:p="http://schemas.microsoft.com/office/2006/metadata/properties" xmlns:ns2="389bebb8-3e35-4e81-bd9d-5ae5e3e3c556" xmlns:ns3="8729abb4-45d5-4d05-9596-aff49a8a11a2" targetNamespace="http://schemas.microsoft.com/office/2006/metadata/properties" ma:root="true" ma:fieldsID="29c502f3a4eb1fd68e852336dfc93882" ns2:_="" ns3:_="">
    <xsd:import namespace="389bebb8-3e35-4e81-bd9d-5ae5e3e3c556"/>
    <xsd:import namespace="8729abb4-45d5-4d05-9596-aff49a8a11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bebb8-3e35-4e81-bd9d-5ae5e3e3c5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9abb4-45d5-4d05-9596-aff49a8a11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F894-60E3-4F5D-96FE-DF39FAB39D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F0D24D-C375-4B2C-832C-C97C5AAE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bebb8-3e35-4e81-bd9d-5ae5e3e3c556"/>
    <ds:schemaRef ds:uri="8729abb4-45d5-4d05-9596-aff49a8a1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08435-C2E5-45F8-AB84-3BC40667FB8B}">
  <ds:schemaRefs>
    <ds:schemaRef ds:uri="http://schemas.microsoft.com/sharepoint/v3/contenttype/forms"/>
  </ds:schemaRefs>
</ds:datastoreItem>
</file>

<file path=customXml/itemProps4.xml><?xml version="1.0" encoding="utf-8"?>
<ds:datastoreItem xmlns:ds="http://schemas.openxmlformats.org/officeDocument/2006/customXml" ds:itemID="{1179A223-AA94-411B-91B1-35AEAA57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3335</Words>
  <Characters>19011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Financial Services Guide</vt:lpstr>
    </vt:vector>
  </TitlesOfParts>
  <Company/>
  <LinksUpToDate>false</LinksUpToDate>
  <CharactersWithSpaces>22302</CharactersWithSpaces>
  <SharedDoc>false</SharedDoc>
  <HLinks>
    <vt:vector size="6" baseType="variant">
      <vt:variant>
        <vt:i4>7864376</vt:i4>
      </vt:variant>
      <vt:variant>
        <vt:i4>0</vt:i4>
      </vt:variant>
      <vt:variant>
        <vt:i4>0</vt:i4>
      </vt:variant>
      <vt:variant>
        <vt:i4>5</vt:i4>
      </vt:variant>
      <vt:variant>
        <vt:lpwstr>http://www.fos.org.au/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Guide</dc:title>
  <dc:creator>ShartruWealth</dc:creator>
  <cp:lastModifiedBy>Shartru Wealth</cp:lastModifiedBy>
  <cp:revision>2</cp:revision>
  <cp:lastPrinted>2019-11-12T01:56:00Z</cp:lastPrinted>
  <dcterms:created xsi:type="dcterms:W3CDTF">2025-05-27T08:16:00Z</dcterms:created>
  <dcterms:modified xsi:type="dcterms:W3CDTF">2025-05-27T08:16:00Z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14513</vt:lpwstr>
  </property>
  <property fmtid="{D5CDD505-2E9C-101B-9397-08002B2CF9AE}" pid="3" name="DM_CLIENT">
    <vt:lpwstr>HNHU001</vt:lpwstr>
  </property>
  <property fmtid="{D5CDD505-2E9C-101B-9397-08002B2CF9AE}" pid="4" name="DM_AUTHOR">
    <vt:lpwstr>PD</vt:lpwstr>
  </property>
  <property fmtid="{D5CDD505-2E9C-101B-9397-08002B2CF9AE}" pid="5" name="DM_OPERATOR">
    <vt:lpwstr>RE</vt:lpwstr>
  </property>
  <property fmtid="{D5CDD505-2E9C-101B-9397-08002B2CF9AE}" pid="6" name="DM_DESCRIPTION">
    <vt:lpwstr>FSG v4 with RE's comments 21-07-27</vt:lpwstr>
  </property>
  <property fmtid="{D5CDD505-2E9C-101B-9397-08002B2CF9AE}" pid="7" name="DM_PRECEDENT">
    <vt:lpwstr/>
  </property>
  <property fmtid="{D5CDD505-2E9C-101B-9397-08002B2CF9AE}" pid="8" name="DM_PHONEBOOK">
    <vt:lpwstr>HN Hub</vt:lpwstr>
  </property>
  <property fmtid="{D5CDD505-2E9C-101B-9397-08002B2CF9AE}" pid="9" name="DM_AFTYDOCID">
    <vt:i4>281884</vt:i4>
  </property>
  <property fmtid="{D5CDD505-2E9C-101B-9397-08002B2CF9AE}" pid="10" name="DEF_DM_DESCRIPTION">
    <vt:lpwstr>FSG 2014-04-07</vt:lpwstr>
  </property>
  <property fmtid="{D5CDD505-2E9C-101B-9397-08002B2CF9AE}" pid="11" name="DEF_DM_TYPE">
    <vt:lpwstr>Document</vt:lpwstr>
  </property>
  <property fmtid="{D5CDD505-2E9C-101B-9397-08002B2CF9AE}" pid="12" name="DM_INSERTFOOTER">
    <vt:i4>0</vt:i4>
  </property>
  <property fmtid="{D5CDD505-2E9C-101B-9397-08002B2CF9AE}" pid="13" name="DM_FOOTER1STPAGE">
    <vt:i4>0</vt:i4>
  </property>
  <property fmtid="{D5CDD505-2E9C-101B-9397-08002B2CF9AE}" pid="14" name="DM_DISPVERSIONINFOOTER">
    <vt:i4>0</vt:i4>
  </property>
  <property fmtid="{D5CDD505-2E9C-101B-9397-08002B2CF9AE}" pid="15" name="DM_PROMPTFORVERSION">
    <vt:i4>0</vt:i4>
  </property>
  <property fmtid="{D5CDD505-2E9C-101B-9397-08002B2CF9AE}" pid="16" name="DM_VERSION">
    <vt:i4>1</vt:i4>
  </property>
  <property fmtid="{D5CDD505-2E9C-101B-9397-08002B2CF9AE}" pid="17" name="DM_DISPFILENAMEINFOOTER">
    <vt:lpwstr>HNHU001_14513_002.docx</vt:lpwstr>
  </property>
  <property fmtid="{D5CDD505-2E9C-101B-9397-08002B2CF9AE}" pid="18" name="ContentTypeId">
    <vt:lpwstr>0x010100205AC6941FFFB743A0B4B82CFFD5565F</vt:lpwstr>
  </property>
</Properties>
</file>